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56" w:tblpY="1908"/>
        <w:tblOverlap w:val="never"/>
        <w:tblW w:w="15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7"/>
        <w:gridCol w:w="1080"/>
        <w:gridCol w:w="1080"/>
        <w:gridCol w:w="817"/>
        <w:gridCol w:w="555"/>
        <w:gridCol w:w="727"/>
        <w:gridCol w:w="743"/>
        <w:gridCol w:w="803"/>
        <w:gridCol w:w="1155"/>
        <w:gridCol w:w="862"/>
        <w:gridCol w:w="2723"/>
        <w:gridCol w:w="1080"/>
        <w:gridCol w:w="735"/>
        <w:gridCol w:w="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31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  <w:t>深圳市农业科技促进中心2022年选聘职员岗位表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29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809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9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2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深圳市农业科技促进中心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助理检验员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11级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普通高等院校毕业。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市内外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深圳市农业科技促进中心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农管员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11级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2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普通高等院校毕业；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具有在市级种子管理机构或农业植物检疫机构连续3年以上工作经历，目前仍在岗；已取得植物检疫员证书、种子检验员证等人员优先考虑。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市内外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聘用后需在本单位工作满5年。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4B6"/>
    <w:rsid w:val="27E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2022-07-26T02:25:00Z</dcterms:created>
  <dc:creator>马辉军</dc:creator>
  <cp:lastModifiedBy>马辉军</cp:lastModifiedBy>
  <dcterms:modified xsi:type="dcterms:W3CDTF">2022-07-26T02:38:39Z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