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jc w:val="both"/>
        <w:rPr>
          <w:rFonts w:ascii="华文中宋" w:hAnsi="华文中宋" w:eastAsia="华文中宋" w:cs="华文中宋"/>
          <w:b/>
          <w:color w:val="000000"/>
          <w:kern w:val="0"/>
          <w:sz w:val="36"/>
          <w:szCs w:val="36"/>
        </w:rPr>
      </w:pPr>
      <w:r>
        <w:rPr>
          <w:rFonts w:hint="eastAsia" w:ascii="华文中宋" w:hAnsi="华文中宋" w:eastAsia="华文中宋" w:cs="华文中宋"/>
          <w:b/>
          <w:color w:val="000000"/>
          <w:kern w:val="0"/>
          <w:sz w:val="36"/>
          <w:szCs w:val="36"/>
        </w:rPr>
        <w:t>深圳市餐饮服务食品安全日常监督现场检查记录表</w:t>
      </w:r>
    </w:p>
    <w:p>
      <w:pPr>
        <w:keepNext w:val="0"/>
        <w:keepLines w:val="0"/>
        <w:pageBreakBefore w:val="0"/>
        <w:widowControl w:val="0"/>
        <w:kinsoku/>
        <w:wordWrap/>
        <w:overflowPunct/>
        <w:topLinePunct w:val="0"/>
        <w:autoSpaceDE w:val="0"/>
        <w:autoSpaceDN w:val="0"/>
        <w:bidi w:val="0"/>
        <w:adjustRightInd w:val="0"/>
        <w:snapToGrid/>
        <w:spacing w:before="62" w:line="240" w:lineRule="exact"/>
        <w:textAlignment w:val="auto"/>
        <w:rPr>
          <w:rFonts w:ascii="宋体" w:cs="宋体"/>
          <w:color w:val="000000"/>
          <w:kern w:val="0"/>
          <w:sz w:val="18"/>
          <w:szCs w:val="18"/>
          <w:u w:val="single"/>
          <w:lang w:val="zh-CN"/>
        </w:rPr>
      </w:pPr>
      <w:r>
        <w:rPr>
          <w:rFonts w:hint="eastAsia" w:ascii="宋体" w:cs="宋体"/>
          <w:color w:val="000000"/>
          <w:kern w:val="0"/>
          <w:sz w:val="18"/>
          <w:szCs w:val="18"/>
          <w:lang w:val="zh-CN"/>
        </w:rPr>
        <w:t>被检查单位：</w:t>
      </w:r>
      <w:r>
        <w:rPr>
          <w:rFonts w:ascii="宋体" w:cs="宋体"/>
          <w:color w:val="000000"/>
          <w:kern w:val="0"/>
          <w:sz w:val="18"/>
          <w:szCs w:val="18"/>
          <w:u w:val="single"/>
          <w:lang w:val="zh-CN"/>
        </w:rPr>
        <w:t xml:space="preserve">   </w:t>
      </w:r>
      <w:r>
        <w:rPr>
          <w:rFonts w:hint="eastAsia" w:ascii="宋体" w:cs="宋体"/>
          <w:color w:val="000000"/>
          <w:kern w:val="0"/>
          <w:sz w:val="18"/>
          <w:szCs w:val="18"/>
          <w:u w:val="single"/>
          <w:lang w:val="zh-CN"/>
        </w:rPr>
        <w:t>　　　　　　　　　　　　　　　　　</w:t>
      </w:r>
      <w:r>
        <w:rPr>
          <w:rFonts w:hint="eastAsia" w:ascii="宋体" w:cs="宋体"/>
          <w:color w:val="000000"/>
          <w:kern w:val="0"/>
          <w:sz w:val="18"/>
          <w:szCs w:val="18"/>
          <w:lang w:val="zh-CN"/>
        </w:rPr>
        <w:t xml:space="preserve">　 </w:t>
      </w:r>
      <w:r>
        <w:rPr>
          <w:rFonts w:hint="eastAsia" w:ascii="宋体" w:cs="宋体"/>
          <w:color w:val="000000"/>
          <w:kern w:val="0"/>
          <w:sz w:val="18"/>
          <w:szCs w:val="18"/>
          <w:lang w:val="en-US" w:eastAsia="zh-CN"/>
        </w:rPr>
        <w:t>联系人：</w:t>
      </w:r>
      <w:r>
        <w:rPr>
          <w:rFonts w:hint="eastAsia" w:ascii="宋体" w:cs="宋体"/>
          <w:color w:val="000000"/>
          <w:kern w:val="0"/>
          <w:sz w:val="18"/>
          <w:szCs w:val="18"/>
          <w:u w:val="single"/>
          <w:lang w:val="zh-CN"/>
        </w:rPr>
        <w:t xml:space="preserve">               </w:t>
      </w:r>
      <w:r>
        <w:rPr>
          <w:rFonts w:hint="eastAsia" w:ascii="宋体" w:cs="宋体"/>
          <w:color w:val="000000"/>
          <w:kern w:val="0"/>
          <w:sz w:val="18"/>
          <w:szCs w:val="18"/>
          <w:lang w:val="zh-CN"/>
        </w:rPr>
        <w:t>联系方式</w:t>
      </w:r>
      <w:r>
        <w:rPr>
          <w:rFonts w:hint="eastAsia"/>
          <w:sz w:val="18"/>
          <w:szCs w:val="18"/>
        </w:rPr>
        <w:t xml:space="preserve">： </w:t>
      </w:r>
      <w:r>
        <w:rPr>
          <w:rFonts w:ascii="宋体" w:cs="宋体"/>
          <w:color w:val="000000"/>
          <w:kern w:val="0"/>
          <w:sz w:val="18"/>
          <w:szCs w:val="18"/>
          <w:u w:val="single"/>
          <w:lang w:val="zh-CN"/>
        </w:rPr>
        <w:t xml:space="preserve">   </w:t>
      </w:r>
      <w:r>
        <w:rPr>
          <w:rFonts w:hint="eastAsia" w:ascii="宋体" w:cs="宋体"/>
          <w:color w:val="000000"/>
          <w:kern w:val="0"/>
          <w:sz w:val="18"/>
          <w:szCs w:val="18"/>
          <w:u w:val="single"/>
          <w:lang w:val="zh-CN"/>
        </w:rPr>
        <w:t>　　　　　　　　　</w:t>
      </w:r>
    </w:p>
    <w:p>
      <w:pPr>
        <w:keepNext w:val="0"/>
        <w:keepLines w:val="0"/>
        <w:pageBreakBefore w:val="0"/>
        <w:widowControl w:val="0"/>
        <w:kinsoku/>
        <w:wordWrap/>
        <w:overflowPunct/>
        <w:topLinePunct w:val="0"/>
        <w:autoSpaceDE w:val="0"/>
        <w:autoSpaceDN w:val="0"/>
        <w:bidi w:val="0"/>
        <w:adjustRightInd w:val="0"/>
        <w:snapToGrid/>
        <w:spacing w:before="62" w:line="240" w:lineRule="exact"/>
        <w:textAlignment w:val="auto"/>
        <w:rPr>
          <w:rFonts w:hint="default" w:ascii="宋体" w:eastAsia="宋体" w:cs="宋体"/>
          <w:color w:val="000000"/>
          <w:kern w:val="0"/>
          <w:sz w:val="18"/>
          <w:szCs w:val="18"/>
          <w:u w:val="single"/>
          <w:lang w:val="en-US" w:eastAsia="zh-CN"/>
        </w:rPr>
      </w:pPr>
      <w:r>
        <w:rPr>
          <w:rFonts w:hint="eastAsia" w:ascii="宋体" w:cs="宋体"/>
          <w:color w:val="000000"/>
          <w:kern w:val="0"/>
          <w:sz w:val="18"/>
          <w:szCs w:val="18"/>
          <w:lang w:val="zh-CN"/>
        </w:rPr>
        <w:t>地址：</w:t>
      </w:r>
      <w:r>
        <w:rPr>
          <w:rFonts w:hint="eastAsia" w:ascii="宋体" w:cs="宋体"/>
          <w:color w:val="000000"/>
          <w:kern w:val="0"/>
          <w:sz w:val="18"/>
          <w:szCs w:val="18"/>
          <w:u w:val="single"/>
          <w:lang w:val="zh-CN"/>
        </w:rPr>
        <w:t>　　　　　　　　　　　　　　　　　　　　　</w:t>
      </w:r>
      <w:r>
        <w:rPr>
          <w:rFonts w:hint="eastAsia" w:ascii="宋体" w:cs="宋体"/>
          <w:color w:val="000000"/>
          <w:kern w:val="0"/>
          <w:sz w:val="18"/>
          <w:szCs w:val="18"/>
          <w:lang w:val="zh-CN"/>
        </w:rPr>
        <w:t xml:space="preserve">   </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lang w:val="zh-CN"/>
        </w:rPr>
        <w:t>检查时间：</w:t>
      </w:r>
      <w:r>
        <w:rPr>
          <w:rFonts w:ascii="宋体" w:cs="宋体"/>
          <w:color w:val="000000"/>
          <w:kern w:val="0"/>
          <w:sz w:val="18"/>
          <w:szCs w:val="18"/>
          <w:lang w:val="zh-CN"/>
        </w:rPr>
        <w:t xml:space="preserve"> </w:t>
      </w:r>
      <w:r>
        <w:rPr>
          <w:rFonts w:ascii="宋体" w:cs="宋体"/>
          <w:color w:val="000000"/>
          <w:kern w:val="0"/>
          <w:sz w:val="18"/>
          <w:szCs w:val="18"/>
          <w:u w:val="single"/>
          <w:lang w:val="zh-CN"/>
        </w:rPr>
        <w:t xml:space="preserve">       </w:t>
      </w:r>
      <w:r>
        <w:rPr>
          <w:rFonts w:hint="eastAsia" w:ascii="宋体" w:cs="宋体"/>
          <w:color w:val="000000"/>
          <w:kern w:val="0"/>
          <w:sz w:val="18"/>
          <w:szCs w:val="18"/>
          <w:lang w:val="zh-CN"/>
        </w:rPr>
        <w:t>年</w:t>
      </w:r>
      <w:r>
        <w:rPr>
          <w:rFonts w:ascii="宋体" w:cs="宋体"/>
          <w:color w:val="000000"/>
          <w:kern w:val="0"/>
          <w:sz w:val="18"/>
          <w:szCs w:val="18"/>
          <w:u w:val="single"/>
          <w:lang w:val="zh-CN"/>
        </w:rPr>
        <w:t xml:space="preserve">      </w:t>
      </w:r>
      <w:r>
        <w:rPr>
          <w:rFonts w:hint="eastAsia" w:ascii="宋体" w:cs="宋体"/>
          <w:color w:val="000000"/>
          <w:kern w:val="0"/>
          <w:sz w:val="18"/>
          <w:szCs w:val="18"/>
          <w:lang w:val="zh-CN"/>
        </w:rPr>
        <w:t>月</w:t>
      </w:r>
      <w:r>
        <w:rPr>
          <w:rFonts w:ascii="宋体" w:cs="宋体"/>
          <w:color w:val="000000"/>
          <w:kern w:val="0"/>
          <w:sz w:val="18"/>
          <w:szCs w:val="18"/>
          <w:u w:val="single"/>
          <w:lang w:val="zh-CN"/>
        </w:rPr>
        <w:t xml:space="preserve">      </w:t>
      </w:r>
      <w:r>
        <w:rPr>
          <w:rFonts w:hint="eastAsia" w:ascii="宋体" w:cs="宋体"/>
          <w:color w:val="000000"/>
          <w:kern w:val="0"/>
          <w:sz w:val="18"/>
          <w:szCs w:val="18"/>
          <w:lang w:val="zh-CN"/>
        </w:rPr>
        <w:t xml:space="preserve">日   </w:t>
      </w:r>
      <w:r>
        <w:rPr>
          <w:rFonts w:hint="eastAsia" w:ascii="宋体" w:cs="宋体"/>
          <w:color w:val="000000"/>
          <w:kern w:val="0"/>
          <w:sz w:val="18"/>
          <w:szCs w:val="18"/>
          <w:lang w:val="en-US" w:eastAsia="zh-CN"/>
        </w:rPr>
        <w:t>检查次数：</w:t>
      </w:r>
      <w:r>
        <w:rPr>
          <w:rFonts w:hint="eastAsia" w:ascii="宋体" w:cs="宋体"/>
          <w:color w:val="000000"/>
          <w:kern w:val="0"/>
          <w:sz w:val="18"/>
          <w:szCs w:val="18"/>
          <w:u w:val="single"/>
          <w:lang w:val="en-US" w:eastAsia="zh-CN"/>
        </w:rPr>
        <w:t xml:space="preserve">    </w:t>
      </w:r>
      <w:r>
        <w:rPr>
          <w:rFonts w:hint="eastAsia" w:ascii="宋体" w:cs="宋体"/>
          <w:color w:val="000000"/>
          <w:kern w:val="0"/>
          <w:sz w:val="18"/>
          <w:szCs w:val="18"/>
          <w:u w:val="none"/>
          <w:lang w:val="en-US" w:eastAsia="zh-CN"/>
        </w:rPr>
        <w:t>次</w:t>
      </w:r>
    </w:p>
    <w:p>
      <w:pPr>
        <w:rPr>
          <w:sz w:val="18"/>
          <w:szCs w:val="18"/>
        </w:rPr>
      </w:pPr>
      <w:r>
        <w:rPr>
          <w:rFonts w:hint="eastAsia"/>
          <w:sz w:val="18"/>
          <w:szCs w:val="18"/>
          <w:highlight w:val="none"/>
        </w:rPr>
        <w:t>单位类别：□网络订餐  □学校周边200米单位  □查无实处</w:t>
      </w:r>
      <w:r>
        <w:rPr>
          <w:rFonts w:hint="eastAsia"/>
          <w:sz w:val="18"/>
          <w:szCs w:val="18"/>
          <w:highlight w:val="none"/>
          <w:lang w:val="en-US" w:eastAsia="zh-CN"/>
        </w:rPr>
        <w:t xml:space="preserve"> </w:t>
      </w:r>
      <w:r>
        <w:rPr>
          <w:rFonts w:hint="eastAsia"/>
          <w:sz w:val="18"/>
          <w:szCs w:val="18"/>
          <w:highlight w:val="none"/>
        </w:rPr>
        <w:t>□无证/过期</w:t>
      </w:r>
      <w:r>
        <w:rPr>
          <w:sz w:val="18"/>
          <w:szCs w:val="18"/>
          <w:highlight w:val="none"/>
        </w:rPr>
        <w:t xml:space="preserve">  </w:t>
      </w:r>
      <w:r>
        <w:rPr>
          <w:sz w:val="18"/>
          <w:szCs w:val="18"/>
        </w:rPr>
        <w:t xml:space="preserve">    </w:t>
      </w:r>
    </w:p>
    <w:p>
      <w:pPr>
        <w:keepNext w:val="0"/>
        <w:keepLines w:val="0"/>
        <w:pageBreakBefore w:val="0"/>
        <w:kinsoku/>
        <w:wordWrap/>
        <w:overflowPunct/>
        <w:topLinePunct w:val="0"/>
        <w:autoSpaceDE w:val="0"/>
        <w:autoSpaceDN w:val="0"/>
        <w:bidi w:val="0"/>
        <w:adjustRightInd w:val="0"/>
        <w:spacing w:line="240" w:lineRule="exact"/>
        <w:rPr>
          <w:rFonts w:hint="eastAsia" w:cs="宋体" w:asciiTheme="minorEastAsia" w:hAnsiTheme="minorEastAsia" w:eastAsiaTheme="minorEastAsia"/>
          <w:color w:val="000000"/>
          <w:kern w:val="0"/>
          <w:sz w:val="18"/>
          <w:szCs w:val="18"/>
          <w:lang w:val="zh-CN"/>
        </w:rPr>
      </w:pPr>
      <w:r>
        <w:rPr>
          <w:rFonts w:hint="eastAsia" w:ascii="宋体" w:cs="宋体"/>
          <w:color w:val="000000"/>
          <w:kern w:val="0"/>
          <w:sz w:val="18"/>
          <w:szCs w:val="18"/>
          <w:lang w:val="zh-CN"/>
        </w:rPr>
        <w:t>告知事项：</w:t>
      </w:r>
      <w:r>
        <w:rPr>
          <w:rFonts w:hint="eastAsia" w:cs="宋体" w:asciiTheme="minorEastAsia" w:hAnsiTheme="minorEastAsia" w:eastAsiaTheme="minorEastAsia"/>
          <w:color w:val="000000"/>
          <w:kern w:val="0"/>
          <w:sz w:val="18"/>
          <w:szCs w:val="18"/>
          <w:lang w:val="zh-CN"/>
        </w:rPr>
        <w:t>你好，我们是市场监督管理局的执法人员，现出示执法证件。我们依法对你单位进行监督检查，请予配合。依照法律规定，监督检查人员少于两人或者所出示的执法证件与其身份不符的，你（单位）有权拒绝检查；对于监督检查人员有（1）系当事人或当事人的近亲属；（2）与本人或本人近亲属有利害关系；（3）与当事人有其他关系，可能影响公正执法的，你（单位）有权申请回避。是否申请回避？</w:t>
      </w:r>
    </w:p>
    <w:p>
      <w:pPr>
        <w:keepNext w:val="0"/>
        <w:keepLines w:val="0"/>
        <w:pageBreakBefore w:val="0"/>
        <w:widowControl/>
        <w:tabs>
          <w:tab w:val="center" w:pos="4153"/>
          <w:tab w:val="right" w:pos="8306"/>
        </w:tabs>
        <w:kinsoku/>
        <w:wordWrap/>
        <w:overflowPunct/>
        <w:topLinePunct w:val="0"/>
        <w:bidi w:val="0"/>
        <w:snapToGrid w:val="0"/>
        <w:spacing w:line="240" w:lineRule="exact"/>
        <w:ind w:firstLine="360" w:firstLineChars="200"/>
        <w:jc w:val="left"/>
        <w:textAlignment w:val="center"/>
        <w:rPr>
          <w:rFonts w:hint="default" w:eastAsia="宋体"/>
          <w:sz w:val="18"/>
          <w:szCs w:val="18"/>
          <w:u w:val="single"/>
          <w:lang w:val="en-US" w:eastAsia="zh-CN"/>
        </w:rPr>
      </w:pPr>
      <w:r>
        <w:rPr>
          <w:rFonts w:hint="eastAsia" w:cs="宋体" w:asciiTheme="minorEastAsia" w:hAnsiTheme="minorEastAsia" w:eastAsiaTheme="minorEastAsia"/>
          <w:color w:val="000000"/>
          <w:kern w:val="0"/>
          <w:sz w:val="18"/>
          <w:szCs w:val="18"/>
          <w:lang w:val="zh-CN"/>
        </w:rPr>
        <w:t>你（单位）答：</w:t>
      </w:r>
      <w:r>
        <w:rPr>
          <w:sz w:val="18"/>
          <w:szCs w:val="18"/>
          <w:u w:val="single"/>
        </w:rPr>
        <w:t xml:space="preserve">         </w:t>
      </w:r>
      <w:r>
        <w:rPr>
          <w:rFonts w:hint="eastAsia"/>
          <w:sz w:val="18"/>
          <w:szCs w:val="18"/>
          <w:u w:val="single"/>
          <w:lang w:val="en-US" w:eastAsia="zh-CN"/>
        </w:rPr>
        <w:t xml:space="preserve">                  </w:t>
      </w:r>
    </w:p>
    <w:tbl>
      <w:tblPr>
        <w:tblStyle w:val="4"/>
        <w:tblW w:w="11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1"/>
        <w:gridCol w:w="673"/>
        <w:gridCol w:w="7997"/>
        <w:gridCol w:w="950"/>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检查项目</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序号</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检查内容</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检查结果</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eastAsia" w:cs="宋体" w:asciiTheme="minorEastAsia" w:hAnsiTheme="minorEastAsia" w:eastAsiaTheme="minorEastAsia"/>
                <w:color w:val="000000"/>
                <w:kern w:val="0"/>
                <w:sz w:val="18"/>
                <w:szCs w:val="18"/>
                <w:lang w:val="en-US" w:eastAsia="zh-CN"/>
              </w:rPr>
              <w:t>经营</w:t>
            </w:r>
            <w:r>
              <w:rPr>
                <w:rFonts w:hint="default" w:cs="宋体" w:asciiTheme="minorEastAsia" w:hAnsiTheme="minorEastAsia" w:eastAsiaTheme="minorEastAsia"/>
                <w:color w:val="000000"/>
                <w:kern w:val="0"/>
                <w:sz w:val="18"/>
                <w:szCs w:val="18"/>
                <w:lang w:val="zh-CN" w:eastAsia="zh-CN"/>
              </w:rPr>
              <w:t>资质</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*1.1</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食品经营许可证合法有效、与经营场所（实体门店）地址一致</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1.2</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未超出许可经营项目开展餐饮服务活动</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信息公示</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2.1</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在经营场所的显著位置悬挂或者摆放食品经营许可证正本，或以电子形式公示</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2.2</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曾开展过日常监督检查的餐饮服务提供者，按规定在经营场所醒目位置张贴或者公开展示对消费者有重要影响的监督检查结果记录表</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2.3</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公示从事接触直接入口食品工作的从业人员的有效健康证明</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2.4</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入网餐饮服务提供者在线上经营活动主页面公示餐饮服务提供者名称、地址、食品经营许可证等信息，公示信息真实，及时更新</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从业人员健康管理</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3.1</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制定从业人员健康管理制度</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3.2</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餐饮服务企业对各岗位从业人员进行相应的食品安全知识培训，做好培训记录</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*3.3</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有每日健康检查（晨检）记录。从事接触直接入口食品工作的从业人员持有有效的健康证明，未患有碍食品安全病症或手部有伤口</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3.4</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在岗从业人员保持良好个人卫生，手部清洁，无留长指甲、涂指甲油、饰物外露等情形</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3.5</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在岗从业人员穿戴洁净的工作衣帽。专间、专用操作区和其他操作区的从业人员工作服有明显区分</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3.6</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专间及专用操作区内的从业人员操作时，佩戴清洁的口罩，口罩遮住口鼻</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jc w:val="center"/>
        </w:trPr>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原料控制（含食品添加剂、食品相关产品）</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4.1</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随机抽查的餐饮服务提供者的食品、食品添加剂、食品相关产品有进货查验记录和合格证明文件</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4.2</w:t>
            </w:r>
          </w:p>
        </w:tc>
        <w:tc>
          <w:tcPr>
            <w:tcW w:w="799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 w:eastAsia="zh-CN"/>
              </w:rPr>
            </w:pPr>
            <w:r>
              <w:rPr>
                <w:rFonts w:hint="default" w:cs="宋体" w:asciiTheme="minorEastAsia" w:hAnsiTheme="minorEastAsia" w:eastAsiaTheme="minorEastAsia"/>
                <w:color w:val="000000"/>
                <w:kern w:val="0"/>
                <w:sz w:val="18"/>
                <w:szCs w:val="18"/>
                <w:lang w:val="zh-CN" w:eastAsia="zh-CN"/>
              </w:rPr>
              <w:t>食品贮存区不存在食品与非食品混放情形，未存放有毒有害物质；食品贮存符合分类、分架、离墙、离地、有标识等要求</w:t>
            </w:r>
          </w:p>
        </w:tc>
        <w:tc>
          <w:tcPr>
            <w:tcW w:w="9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exac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p>
        </w:tc>
        <w:tc>
          <w:tcPr>
            <w:tcW w:w="799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9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58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*4.3</w:t>
            </w:r>
          </w:p>
        </w:tc>
        <w:tc>
          <w:tcPr>
            <w:tcW w:w="799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需冷冻（藏）的食品原料、半成品和成品按要求进行冷冻（藏）。冷冻（藏）设施中的食品不存在原料、半成品、成品混放等情形；冷冻（藏）设施设有显示内部温度的测温装置，冷冻（藏）温度符合要求</w:t>
            </w:r>
            <w:r>
              <w:rPr>
                <w:rFonts w:hint="eastAsia" w:cs="宋体" w:asciiTheme="minorEastAsia" w:hAnsiTheme="minorEastAsia" w:eastAsiaTheme="minorEastAsia"/>
                <w:color w:val="000000"/>
                <w:kern w:val="0"/>
                <w:sz w:val="18"/>
                <w:szCs w:val="18"/>
                <w:lang w:val="zh-CN" w:eastAsia="zh-CN"/>
              </w:rPr>
              <w:t>★</w:t>
            </w:r>
          </w:p>
        </w:tc>
        <w:tc>
          <w:tcPr>
            <w:tcW w:w="9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p>
        </w:tc>
        <w:tc>
          <w:tcPr>
            <w:tcW w:w="799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p>
        </w:tc>
        <w:tc>
          <w:tcPr>
            <w:tcW w:w="9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58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*4.4</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现场未查见无标签标识、无法说明来源以及其他明令禁止生产经营的物质</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4.5</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特定餐饮服务提供者建立供货者评价和退出机制，自行或委托第三方机构定期对供货者食品安全状况进行现场评价</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4.6</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在加工间和贮存设施随机抽查的食品原料感官性状无异常、食品包装和标签标识符合要求。未采购、贮存、使用散装食盐。</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4.7</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对变质、超过保质期或者回收的食品进行显著标示或者单独存放在有明确标志的场所，及时进行无害化处理、销毁等，并如实记录</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*4.8</w:t>
            </w:r>
          </w:p>
        </w:tc>
        <w:tc>
          <w:tcPr>
            <w:tcW w:w="79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食品加工用水水质符合生活饮用水卫生标准。加工制作现榨果蔬汁和食用冰等直接入口食品的用水通过净水设施处理，或使用预包装饮用水、煮沸冷却后的生活饮用水</w:t>
            </w:r>
            <w:r>
              <w:rPr>
                <w:rFonts w:hint="eastAsia" w:cs="宋体" w:asciiTheme="minorEastAsia" w:hAnsiTheme="minorEastAsia" w:eastAsiaTheme="minorEastAsia"/>
                <w:color w:val="000000"/>
                <w:kern w:val="0"/>
                <w:sz w:val="18"/>
                <w:szCs w:val="18"/>
                <w:lang w:val="zh-CN" w:eastAsia="zh-CN"/>
              </w:rPr>
              <w:t>★</w:t>
            </w:r>
          </w:p>
        </w:tc>
        <w:tc>
          <w:tcPr>
            <w:tcW w:w="9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exac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p>
        </w:tc>
        <w:tc>
          <w:tcPr>
            <w:tcW w:w="79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9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加工制作过程</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5.1</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具有与其加工制作的食品品种、数量相适应的加工场所及设施设备等</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*5.2</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原料、半成品、成品及其盛放容器和加工工具区分标识明显、分开放置和使用；防止交叉污染措施有效</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*5.3</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不存在《食品安全法》等法律、法规禁止的行为</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5.4</w:t>
            </w:r>
          </w:p>
        </w:tc>
        <w:tc>
          <w:tcPr>
            <w:tcW w:w="79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食品原料洗净后使用。各类水池有明显标识标明用途，分类清洗动物性食品、植物性食品和水产品。未经清洁的禽蛋使用前清洁外壳</w:t>
            </w:r>
          </w:p>
        </w:tc>
        <w:tc>
          <w:tcPr>
            <w:tcW w:w="9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en" w:eastAsia="zh-CN"/>
              </w:rPr>
              <w:t>□</w:t>
            </w:r>
            <w:r>
              <w:rPr>
                <w:rFonts w:hint="default" w:cs="宋体" w:asciiTheme="minorEastAsia" w:hAnsiTheme="minorEastAsia" w:eastAsiaTheme="minorEastAsia"/>
                <w:color w:val="000000"/>
                <w:kern w:val="0"/>
                <w:sz w:val="18"/>
                <w:szCs w:val="18"/>
                <w:lang w:val="zh-CN" w:eastAsia="zh-CN"/>
              </w:rPr>
              <w:t>是□否</w:t>
            </w:r>
          </w:p>
        </w:tc>
        <w:tc>
          <w:tcPr>
            <w:tcW w:w="5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exac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p>
        </w:tc>
        <w:tc>
          <w:tcPr>
            <w:tcW w:w="79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9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5.5</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盛放调味料的容器保持清洁，加盖存放。煎炸油的色泽、气味、状态无异常，必要时进行检测。油炸类食品、烧烤类食品、火锅类食品、糕点类食品、自制饮品等加工过程符合要求</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*5.6</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en-US" w:eastAsia="zh-CN"/>
              </w:rPr>
              <w:t>专间及专用操作区的标识、设施、人员及操作符合要求</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是4</w:t>
            </w:r>
          </w:p>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否</w:t>
            </w:r>
            <w:r>
              <w:rPr>
                <w:rFonts w:hint="eastAsia" w:cs="宋体" w:asciiTheme="minorEastAsia" w:hAnsiTheme="minorEastAsia" w:eastAsiaTheme="minorEastAsia"/>
                <w:color w:val="000000"/>
                <w:kern w:val="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5.7</w:t>
            </w:r>
          </w:p>
        </w:tc>
        <w:tc>
          <w:tcPr>
            <w:tcW w:w="7997"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学校（含托幼机构）、养老机构、医疗机构、建筑工地等集中用餐单位的食堂以及中央厨房、集体用餐配送单位、一次性集体聚餐人数超过100人或为重大活动供餐的餐饮服务提供者，按规定留样</w:t>
            </w:r>
          </w:p>
        </w:tc>
        <w:tc>
          <w:tcPr>
            <w:tcW w:w="950" w:type="dxa"/>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*5.8</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中小学、幼儿园食堂未制售冷荤类食品、生食类食品、裱花蛋糕，未加工制作四季豆、鲜黄花菜、野生蘑菇、发芽土豆等高风险食品，未设置酒销售点</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食品添加剂使用管理</w:t>
            </w:r>
          </w:p>
        </w:tc>
        <w:tc>
          <w:tcPr>
            <w:tcW w:w="673"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6.1</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食品添加剂存放、使用、管理符合要求</w:t>
            </w:r>
          </w:p>
        </w:tc>
        <w:tc>
          <w:tcPr>
            <w:tcW w:w="95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*6.2</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未采购、贮存、使用亚硝酸盐等国家禁止在餐饮业使用的品种</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jc w:val="center"/>
        </w:trPr>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备餐、供餐与配送</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*7.1</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备餐场所、备餐人员个人卫生、盛装食品成品的容器和分派菜肴整理造型的工具、菜肴围边和盘花符合要求。食品存放温度和时间符合要求</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7.2</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采取有效措施，防止供餐过程中食品受到污染。学校食堂就餐区或者就餐区附近应当设置供用餐者清洗手部以及餐具、饮具的用水设施</w:t>
            </w:r>
          </w:p>
        </w:tc>
        <w:tc>
          <w:tcPr>
            <w:tcW w:w="95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7.3</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具备符合贮存、运输要求的设施设备。食品的传送电梯、配送车辆、存放食品的车厢或配送箱（包）、与食品直接接触的配送容器符合要求。食品配送过程符合要求</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7.4</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中央厨房配送过程中，食品的包装或盛放符合要求，包装或盛放容器上标注的信息符合要求</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7.5</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集体用餐配送单位配送过程中，食品的盛放容器密闭，食品容器上标注的信息符合要求</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7.6</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外卖送餐人员保持个人卫生、配送箱（包）保持清洁。配送箱（包）中，直接入口食品和非直接入口食品、需低温保存的食品和热食品分隔放置，并保证食品温度符合食品安全要求</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场所和设备设施清洁维护</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8.1</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未在餐饮经营场所内饲养、暂养和宰杀畜禽；场所及设施设备布局合理</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8.2</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保持餐饮经营场所环境清洁，墙壁、天花板、门窗、地面、排水沟、操作台、食品加工用具等无破损、霉斑、积油、积水、污垢等</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*8.3</w:t>
            </w:r>
          </w:p>
        </w:tc>
        <w:tc>
          <w:tcPr>
            <w:tcW w:w="799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冷冻（藏）、保温、陈列、采光、通风、洗手、消毒、三防等设施设备能正常使用。特定餐饮服务提供者具有设施设备维护记录</w:t>
            </w:r>
            <w:r>
              <w:rPr>
                <w:rFonts w:hint="eastAsia" w:cs="宋体" w:asciiTheme="minorEastAsia" w:hAnsiTheme="minorEastAsia" w:eastAsiaTheme="minorEastAsia"/>
                <w:color w:val="000000"/>
                <w:kern w:val="0"/>
                <w:sz w:val="18"/>
                <w:szCs w:val="18"/>
                <w:lang w:val="zh-CN" w:eastAsia="zh-CN"/>
              </w:rPr>
              <w:t>★</w:t>
            </w:r>
          </w:p>
        </w:tc>
        <w:tc>
          <w:tcPr>
            <w:tcW w:w="9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exac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p>
        </w:tc>
        <w:tc>
          <w:tcPr>
            <w:tcW w:w="799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p>
        </w:tc>
        <w:tc>
          <w:tcPr>
            <w:tcW w:w="9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p>
        </w:tc>
        <w:tc>
          <w:tcPr>
            <w:tcW w:w="58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*8.4</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有害生物防治措施有效，不存在明显的有害生物活动迹象。餐饮服务企业、中央厨房、集体用餐配送单位、学校（含托幼机构）食堂、养老机构食堂、医疗机构食堂有定期除虫灭害记录</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8.5</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卫生间设置位置符合要求，能够保持清洁</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8.6</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zh-CN" w:eastAsia="zh-CN"/>
              </w:rPr>
              <w:t>餐厨废弃物的存放及清理符合要求</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exact"/>
          <w:jc w:val="center"/>
        </w:trPr>
        <w:tc>
          <w:tcPr>
            <w:tcW w:w="97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餐饮具清洗消毒</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9.1</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餐用具清洗池专用，有明显标识，满足清洗需要。洗涤剂符合食品安全国家标准，包装标识齐全</w:t>
            </w:r>
          </w:p>
        </w:tc>
        <w:tc>
          <w:tcPr>
            <w:tcW w:w="95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*9.2</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采用物理消毒的，消毒设施（包括一体化洗碗消毒机）运转正常并能满足消毒需要。采用化学消毒的，使用的消毒剂为正规产品，消毒液使用、配制等符合要求</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eastAsia" w:cs="宋体" w:asciiTheme="minorEastAsia" w:hAnsiTheme="minorEastAsia" w:eastAsiaTheme="minorEastAsia"/>
                <w:color w:val="000000"/>
                <w:kern w:val="0"/>
                <w:sz w:val="18"/>
                <w:szCs w:val="18"/>
                <w:lang w:val="zh-CN" w:eastAsia="zh-CN"/>
              </w:rPr>
              <w:t>□</w:t>
            </w: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r>
              <w:rPr>
                <w:rFonts w:hint="eastAsia" w:cs="宋体" w:asciiTheme="minorEastAsia" w:hAnsiTheme="minorEastAsia" w:eastAsiaTheme="minorEastAsia"/>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9.3</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保洁设施符合相关要求，保洁设施内存放的餐饮具保持清洁</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*9.4</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使用集中清洗消毒餐饮具的，查验、留存集中消毒服务单位的营业执照复印件和消毒合格证明。餐饮具包装无破损、标识符合要求、在使用期限内</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*9.5</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未发现使用未经清洗消毒的餐饮具、重复使用一次性餐饮具</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食品安全管理</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10.1</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建立并不断完善健全食品安全管理制度，特定餐饮服务提供者制定加工操作规程。中央厨房、集体用餐配送单位、连锁餐饮企业总部、网络餐饮服务第三方平台提供者设立食品安全管理机构</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10.2</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餐饮服务企业、网络餐饮服务第三方平台提供者、学校（含托幼机构）食堂、养老机构食堂、医疗机构食堂配备专职或兼职食品安全管理人员，留存食品安全管理人员任职文件等证明资料</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*10.3</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随机对食品安全管理人员抽查考核食品安全知识，结果符合要求</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10.4</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餐饮服务企业、网络餐饮服务第三方平台提供者、学校（含托幼机构）食堂、养老机构食堂、医疗机构食堂有食品安全事故处置方案</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*10.5</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建立食品安全自查制度，定期对食品安全状况进行检查评价，有食品安全自查记录，自查频次和内容符合相关规定。自查内容真实反映管理现状，及时整改发现的问题</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10.6</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中央厨房和集体用餐配送单位自行或委托具有资质的第三方机构定期对大宗食品原料、加工制作环境进行检验检测，有检验检测结果记录</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w:t>
            </w:r>
            <w:r>
              <w:rPr>
                <w:rFonts w:hint="eastAsia" w:cs="宋体" w:asciiTheme="minorEastAsia" w:hAnsiTheme="minorEastAsia" w:eastAsiaTheme="minorEastAsia"/>
                <w:color w:val="000000"/>
                <w:kern w:val="0"/>
                <w:sz w:val="18"/>
                <w:szCs w:val="18"/>
                <w:lang w:val="en-US" w:eastAsia="zh-CN"/>
              </w:rPr>
              <w:t>不适用</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制止餐饮浪费</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11.1</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en-US" w:eastAsia="zh-CN"/>
              </w:rPr>
              <w:t>主动对消费者进行防止食品浪费提示提醒</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11.2</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未发现诱导、误导消费者超量点餐造成明显浪费</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*11.3</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default" w:cs="宋体" w:asciiTheme="minorEastAsia" w:hAnsiTheme="minorEastAsia" w:eastAsiaTheme="minorEastAsia"/>
                <w:color w:val="000000"/>
                <w:kern w:val="0"/>
                <w:sz w:val="18"/>
                <w:szCs w:val="18"/>
                <w:lang w:val="en-US" w:eastAsia="zh-CN"/>
              </w:rPr>
              <w:t>未发现经营过程中存在严重浪费</w:t>
            </w:r>
            <w:r>
              <w:rPr>
                <w:rFonts w:hint="eastAsia" w:cs="宋体" w:asciiTheme="minorEastAsia" w:hAnsiTheme="minorEastAsia" w:eastAsiaTheme="minorEastAsia"/>
                <w:color w:val="000000"/>
                <w:kern w:val="0"/>
                <w:sz w:val="18"/>
                <w:szCs w:val="18"/>
                <w:lang w:val="zh-CN"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zh-CN" w:eastAsia="zh-CN"/>
              </w:rPr>
            </w:pPr>
            <w:r>
              <w:rPr>
                <w:rFonts w:hint="default" w:cs="宋体" w:asciiTheme="minorEastAsia" w:hAnsiTheme="minorEastAsia" w:eastAsiaTheme="minorEastAsia"/>
                <w:color w:val="000000"/>
                <w:kern w:val="0"/>
                <w:sz w:val="18"/>
                <w:szCs w:val="18"/>
                <w:lang w:val="zh-CN" w:eastAsia="zh-CN"/>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其他</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12.1</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落实控烟“四有一无一劝阻”要求，现场张贴控烟警示标识，主动劝阻禁烟场所吸烟行为</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themeColor="text1"/>
                <w:kern w:val="0"/>
                <w:sz w:val="18"/>
                <w:szCs w:val="18"/>
                <w:lang w:val="zh-CN" w:eastAsia="zh-CN"/>
                <w14:textFill>
                  <w14:solidFill>
                    <w14:schemeClr w14:val="tx1"/>
                  </w14:solidFill>
                </w14:textFill>
              </w:rPr>
            </w:pPr>
            <w:r>
              <w:rPr>
                <w:rFonts w:hint="default" w:cs="宋体" w:asciiTheme="minorEastAsia" w:hAnsiTheme="minorEastAsia" w:eastAsiaTheme="minorEastAsia"/>
                <w:color w:val="000000" w:themeColor="text1"/>
                <w:kern w:val="0"/>
                <w:sz w:val="18"/>
                <w:szCs w:val="18"/>
                <w:lang w:val="zh-CN" w:eastAsia="zh-CN"/>
                <w14:textFill>
                  <w14:solidFill>
                    <w14:schemeClr w14:val="tx1"/>
                  </w14:solidFill>
                </w14:textFill>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971"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12.2</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落实管业务管安全，发放安全生产告知书，督促：建立并落实安全生产管理制度，落实安全主体责任，自觉开展安全自查和员工培训，做好用火、用电、用气等安全措施，严禁三小场所违规住人</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themeColor="text1"/>
                <w:kern w:val="0"/>
                <w:sz w:val="18"/>
                <w:szCs w:val="18"/>
                <w:lang w:val="zh-CN" w:eastAsia="zh-CN"/>
                <w14:textFill>
                  <w14:solidFill>
                    <w14:schemeClr w14:val="tx1"/>
                  </w14:solidFill>
                </w14:textFill>
              </w:rPr>
            </w:pPr>
            <w:r>
              <w:rPr>
                <w:rFonts w:hint="default" w:cs="宋体" w:asciiTheme="minorEastAsia" w:hAnsiTheme="minorEastAsia" w:eastAsiaTheme="minorEastAsia"/>
                <w:color w:val="000000" w:themeColor="text1"/>
                <w:kern w:val="0"/>
                <w:sz w:val="18"/>
                <w:szCs w:val="18"/>
                <w:lang w:val="zh-CN" w:eastAsia="zh-CN"/>
                <w14:textFill>
                  <w14:solidFill>
                    <w14:schemeClr w14:val="tx1"/>
                  </w14:solidFill>
                </w14:textFill>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71"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12.3</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无免费提供一次性筷子、叉子、汤匙等餐具的行为。堂食禁止使用不可降解一次性塑料餐具</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themeColor="text1"/>
                <w:kern w:val="0"/>
                <w:sz w:val="18"/>
                <w:szCs w:val="18"/>
                <w:lang w:val="zh-CN" w:eastAsia="zh-CN"/>
                <w14:textFill>
                  <w14:solidFill>
                    <w14:schemeClr w14:val="tx1"/>
                  </w14:solidFill>
                </w14:textFill>
              </w:rPr>
            </w:pPr>
            <w:r>
              <w:rPr>
                <w:rFonts w:hint="default" w:cs="宋体" w:asciiTheme="minorEastAsia" w:hAnsiTheme="minorEastAsia" w:eastAsiaTheme="minorEastAsia"/>
                <w:color w:val="000000" w:themeColor="text1"/>
                <w:kern w:val="0"/>
                <w:sz w:val="18"/>
                <w:szCs w:val="18"/>
                <w:lang w:val="zh-CN" w:eastAsia="zh-CN"/>
                <w14:textFill>
                  <w14:solidFill>
                    <w14:schemeClr w14:val="tx1"/>
                  </w14:solidFill>
                </w14:textFill>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971"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lang w:val="en-US" w:eastAsia="zh-CN"/>
              </w:rPr>
            </w:pP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12.4</w:t>
            </w:r>
          </w:p>
        </w:tc>
        <w:tc>
          <w:tcPr>
            <w:tcW w:w="7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督促落实测温、扫码、佩戴口罩等疫情防控要求。经营进口冷链食品符合有关疫情防控要求</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both"/>
              <w:rPr>
                <w:rFonts w:hint="default" w:cs="宋体" w:asciiTheme="minorEastAsia" w:hAnsiTheme="minorEastAsia" w:eastAsiaTheme="minorEastAsia"/>
                <w:color w:val="000000" w:themeColor="text1"/>
                <w:kern w:val="0"/>
                <w:sz w:val="18"/>
                <w:szCs w:val="18"/>
                <w:lang w:val="zh-CN" w:eastAsia="zh-CN"/>
                <w14:textFill>
                  <w14:solidFill>
                    <w14:schemeClr w14:val="tx1"/>
                  </w14:solidFill>
                </w14:textFill>
              </w:rPr>
            </w:pPr>
            <w:r>
              <w:rPr>
                <w:rFonts w:hint="default" w:cs="宋体" w:asciiTheme="minorEastAsia" w:hAnsiTheme="minorEastAsia" w:eastAsiaTheme="minorEastAsia"/>
                <w:color w:val="000000" w:themeColor="text1"/>
                <w:kern w:val="0"/>
                <w:sz w:val="18"/>
                <w:szCs w:val="18"/>
                <w:lang w:val="zh-CN" w:eastAsia="zh-CN"/>
                <w14:textFill>
                  <w14:solidFill>
                    <w14:schemeClr w14:val="tx1"/>
                  </w14:solidFill>
                </w14:textFill>
              </w:rPr>
              <w:t>□是□否</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s="宋体" w:asciiTheme="minorEastAsia" w:hAnsiTheme="minorEastAsia" w:eastAsiaTheme="minorEastAsia"/>
          <w:bCs/>
          <w:color w:val="000000"/>
          <w:kern w:val="0"/>
          <w:sz w:val="18"/>
          <w:szCs w:val="18"/>
          <w:lang w:val="en-US" w:eastAsia="zh-CN" w:bidi="ar-SA"/>
        </w:rPr>
      </w:pPr>
      <w:r>
        <w:rPr>
          <w:rFonts w:hint="eastAsia" w:cs="宋体" w:asciiTheme="minorEastAsia" w:hAnsiTheme="minorEastAsia" w:eastAsiaTheme="minorEastAsia"/>
          <w:bCs/>
          <w:color w:val="000000"/>
          <w:kern w:val="0"/>
          <w:sz w:val="18"/>
          <w:szCs w:val="18"/>
          <w:lang w:val="en-US" w:eastAsia="zh-CN" w:bidi="ar-SA"/>
        </w:rPr>
        <w:t>检查结果判定方法：</w:t>
      </w:r>
      <w:r>
        <w:rPr>
          <w:rFonts w:hint="eastAsia" w:ascii="宋体" w:hAnsi="宋体" w:eastAsia="宋体" w:cs="宋体"/>
          <w:color w:val="000000"/>
          <w:kern w:val="0"/>
          <w:position w:val="-26"/>
          <w:sz w:val="24"/>
          <w:lang w:val="en-US" w:eastAsia="zh-CN"/>
        </w:rPr>
        <w:object>
          <v:shape id="_x0000_i1025" o:spt="75" type="#_x0000_t75" style="height:20.15pt;width:119.9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宋体" w:hAnsi="宋体" w:eastAsia="宋体" w:cs="宋体"/>
          <w:sz w:val="24"/>
          <w:szCs w:val="24"/>
        </w:rPr>
        <w:t>，</w:t>
      </w:r>
      <w:r>
        <w:rPr>
          <w:rFonts w:hint="eastAsia" w:cs="宋体" w:asciiTheme="minorEastAsia" w:hAnsiTheme="minorEastAsia" w:eastAsiaTheme="minorEastAsia"/>
          <w:bCs/>
          <w:color w:val="000000"/>
          <w:kern w:val="0"/>
          <w:sz w:val="18"/>
          <w:szCs w:val="18"/>
          <w:lang w:val="en-US" w:eastAsia="zh-CN" w:bidi="ar-SA"/>
        </w:rPr>
        <w:t>小型餐馆、小餐饮、糕点店、饮品店乘以系数为0.8，其他业态系数为1，得分取整数。</w:t>
      </w:r>
    </w:p>
    <w:tbl>
      <w:tblPr>
        <w:tblStyle w:val="4"/>
        <w:tblW w:w="10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28"/>
        <w:gridCol w:w="1695"/>
        <w:gridCol w:w="2130"/>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28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top"/>
          </w:tcPr>
          <w:p>
            <w:pPr>
              <w:keepNext w:val="0"/>
              <w:keepLines w:val="0"/>
              <w:pageBreakBefore w:val="0"/>
              <w:kinsoku/>
              <w:wordWrap/>
              <w:overflowPunct/>
              <w:topLinePunct w:val="0"/>
              <w:autoSpaceDE w:val="0"/>
              <w:autoSpaceDN w:val="0"/>
              <w:bidi w:val="0"/>
              <w:adjustRightInd w:val="0"/>
              <w:spacing w:line="24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得分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top"/>
          </w:tcPr>
          <w:p>
            <w:pPr>
              <w:keepNext w:val="0"/>
              <w:keepLines w:val="0"/>
              <w:pageBreakBefore w:val="0"/>
              <w:kinsoku/>
              <w:wordWrap/>
              <w:overflowPunct/>
              <w:topLinePunct w:val="0"/>
              <w:autoSpaceDE w:val="0"/>
              <w:autoSpaceDN w:val="0"/>
              <w:bidi w:val="0"/>
              <w:adjustRightInd w:val="0"/>
              <w:spacing w:line="24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风险等级</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top"/>
          </w:tcPr>
          <w:p>
            <w:pPr>
              <w:keepNext w:val="0"/>
              <w:keepLines w:val="0"/>
              <w:pageBreakBefore w:val="0"/>
              <w:kinsoku/>
              <w:wordWrap/>
              <w:overflowPunct/>
              <w:topLinePunct w:val="0"/>
              <w:autoSpaceDE w:val="0"/>
              <w:autoSpaceDN w:val="0"/>
              <w:bidi w:val="0"/>
              <w:adjustRightInd w:val="0"/>
              <w:spacing w:line="24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量化等级</w:t>
            </w:r>
          </w:p>
        </w:tc>
        <w:tc>
          <w:tcPr>
            <w:tcW w:w="4284"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top"/>
          </w:tcPr>
          <w:p>
            <w:pPr>
              <w:keepNext w:val="0"/>
              <w:keepLines w:val="0"/>
              <w:pageBreakBefore w:val="0"/>
              <w:kinsoku/>
              <w:wordWrap/>
              <w:overflowPunct/>
              <w:topLinePunct w:val="0"/>
              <w:autoSpaceDE w:val="0"/>
              <w:autoSpaceDN w:val="0"/>
              <w:bidi w:val="0"/>
              <w:adjustRightInd w:val="0"/>
              <w:spacing w:line="240" w:lineRule="exact"/>
              <w:jc w:val="both"/>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检查结果：本次检查发现不符合项（  ）项，其中：重点项（  ）项，一般项（  ）项。</w:t>
            </w:r>
          </w:p>
          <w:p>
            <w:pPr>
              <w:keepNext w:val="0"/>
              <w:keepLines w:val="0"/>
              <w:pageBreakBefore w:val="0"/>
              <w:kinsoku/>
              <w:wordWrap/>
              <w:overflowPunct/>
              <w:topLinePunct w:val="0"/>
              <w:autoSpaceDE w:val="0"/>
              <w:autoSpaceDN w:val="0"/>
              <w:bidi w:val="0"/>
              <w:adjustRightInd w:val="0"/>
              <w:spacing w:line="240" w:lineRule="exact"/>
              <w:jc w:val="both"/>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结果处理： □</w:t>
            </w:r>
            <w:r>
              <w:rPr>
                <w:rFonts w:hint="eastAsia" w:cs="宋体" w:asciiTheme="minorEastAsia" w:hAnsiTheme="minorEastAsia" w:eastAsiaTheme="minorEastAsia"/>
                <w:color w:val="000000"/>
                <w:kern w:val="0"/>
                <w:sz w:val="18"/>
                <w:szCs w:val="18"/>
                <w:lang w:val="en-US" w:eastAsia="zh-CN"/>
              </w:rPr>
              <w:t>未</w:t>
            </w:r>
            <w:r>
              <w:rPr>
                <w:rFonts w:hint="eastAsia" w:cs="宋体" w:asciiTheme="minorEastAsia" w:hAnsiTheme="minorEastAsia" w:eastAsiaTheme="minorEastAsia"/>
                <w:color w:val="000000"/>
                <w:kern w:val="0"/>
                <w:sz w:val="18"/>
                <w:szCs w:val="18"/>
                <w:lang w:val="en-US" w:eastAsia="zh-CN"/>
              </w:rPr>
              <w:t>发现违法违规行为和风险隐患问题</w:t>
            </w:r>
          </w:p>
          <w:p>
            <w:pPr>
              <w:keepNext w:val="0"/>
              <w:keepLines w:val="0"/>
              <w:pageBreakBefore w:val="0"/>
              <w:kinsoku/>
              <w:wordWrap/>
              <w:overflowPunct/>
              <w:topLinePunct w:val="0"/>
              <w:autoSpaceDE w:val="0"/>
              <w:autoSpaceDN w:val="0"/>
              <w:bidi w:val="0"/>
              <w:adjustRightInd w:val="0"/>
              <w:spacing w:line="240" w:lineRule="exact"/>
              <w:jc w:val="both"/>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□一般项不符</w:t>
            </w:r>
            <w:r>
              <w:rPr>
                <w:rFonts w:hint="eastAsia" w:cs="宋体" w:asciiTheme="minorEastAsia" w:hAnsiTheme="minorEastAsia" w:eastAsiaTheme="minorEastAsia"/>
                <w:color w:val="000000"/>
                <w:kern w:val="0"/>
                <w:sz w:val="18"/>
                <w:szCs w:val="18"/>
                <w:lang w:val="en-US" w:eastAsia="zh-CN"/>
              </w:rPr>
              <w:t xml:space="preserve">合，存在轻微风险隐患，责令整改  </w:t>
            </w:r>
          </w:p>
          <w:p>
            <w:pPr>
              <w:keepNext w:val="0"/>
              <w:keepLines w:val="0"/>
              <w:pageBreakBefore w:val="0"/>
              <w:kinsoku/>
              <w:wordWrap/>
              <w:overflowPunct/>
              <w:topLinePunct w:val="0"/>
              <w:autoSpaceDE w:val="0"/>
              <w:autoSpaceDN w:val="0"/>
              <w:bidi w:val="0"/>
              <w:adjustRightInd w:val="0"/>
              <w:spacing w:line="240" w:lineRule="exact"/>
              <w:jc w:val="both"/>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□不符合相关项目，存在轻微违法违规行为，</w:t>
            </w:r>
            <w:r>
              <w:rPr>
                <w:rFonts w:hint="eastAsia" w:cs="宋体" w:asciiTheme="minorEastAsia" w:hAnsiTheme="minorEastAsia" w:eastAsiaTheme="minorEastAsia"/>
                <w:color w:val="000000"/>
                <w:kern w:val="0"/>
                <w:sz w:val="18"/>
                <w:szCs w:val="18"/>
                <w:lang w:val="en-US" w:eastAsia="zh-CN"/>
              </w:rPr>
              <w:t>警告+责令整改</w:t>
            </w:r>
            <w:bookmarkStart w:id="0" w:name="_GoBack"/>
            <w:bookmarkEnd w:id="0"/>
          </w:p>
          <w:p>
            <w:pPr>
              <w:keepNext w:val="0"/>
              <w:keepLines w:val="0"/>
              <w:pageBreakBefore w:val="0"/>
              <w:kinsoku/>
              <w:wordWrap/>
              <w:overflowPunct/>
              <w:topLinePunct w:val="0"/>
              <w:autoSpaceDE w:val="0"/>
              <w:autoSpaceDN w:val="0"/>
              <w:bidi w:val="0"/>
              <w:adjustRightInd w:val="0"/>
              <w:spacing w:line="240" w:lineRule="exact"/>
              <w:jc w:val="both"/>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w:t>
            </w:r>
            <w:r>
              <w:rPr>
                <w:rFonts w:hint="eastAsia" w:cs="宋体" w:asciiTheme="minorEastAsia" w:hAnsiTheme="minorEastAsia" w:eastAsiaTheme="minorEastAsia"/>
                <w:color w:val="000000"/>
                <w:kern w:val="0"/>
                <w:sz w:val="18"/>
                <w:szCs w:val="18"/>
                <w:lang w:val="en-US" w:eastAsia="zh-CN"/>
              </w:rPr>
              <w:t>不符合相关项目，涉嫌违法违规，建议立案查处</w:t>
            </w:r>
          </w:p>
          <w:p>
            <w:pPr>
              <w:keepNext w:val="0"/>
              <w:keepLines w:val="0"/>
              <w:pageBreakBefore w:val="0"/>
              <w:kinsoku/>
              <w:wordWrap/>
              <w:overflowPunct/>
              <w:topLinePunct w:val="0"/>
              <w:autoSpaceDE w:val="0"/>
              <w:autoSpaceDN w:val="0"/>
              <w:bidi w:val="0"/>
              <w:adjustRightInd w:val="0"/>
              <w:spacing w:line="240" w:lineRule="exact"/>
              <w:rPr>
                <w:rFonts w:hint="eastAsia" w:cs="宋体" w:asciiTheme="minorEastAsia" w:hAnsiTheme="minorEastAsia" w:eastAsiaTheme="minorEastAsia"/>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 w:hRule="exact"/>
        </w:trPr>
        <w:tc>
          <w:tcPr>
            <w:tcW w:w="28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0—10（含）分</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Cs/>
                <w:color w:val="000000"/>
                <w:kern w:val="0"/>
                <w:sz w:val="18"/>
                <w:szCs w:val="18"/>
                <w:lang w:val="en-US" w:eastAsia="zh-CN" w:bidi="ar-SA"/>
              </w:rPr>
            </w:pPr>
            <w:r>
              <w:rPr>
                <w:rFonts w:hint="eastAsia" w:cs="宋体" w:asciiTheme="minorEastAsia" w:hAnsiTheme="minorEastAsia" w:eastAsiaTheme="minorEastAsia"/>
                <w:bCs/>
                <w:color w:val="000000"/>
                <w:kern w:val="0"/>
                <w:sz w:val="18"/>
                <w:szCs w:val="18"/>
                <w:lang w:val="en-US" w:eastAsia="zh-CN" w:bidi="ar-SA"/>
              </w:rPr>
              <w:t>A级</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Cs/>
                <w:color w:val="000000"/>
                <w:kern w:val="0"/>
                <w:sz w:val="18"/>
                <w:szCs w:val="18"/>
                <w:lang w:val="en-US" w:eastAsia="zh-CN" w:bidi="ar-SA"/>
              </w:rPr>
            </w:pPr>
            <w:r>
              <w:rPr>
                <w:rFonts w:hint="eastAsia" w:cs="宋体" w:asciiTheme="minorEastAsia" w:hAnsiTheme="minorEastAsia" w:eastAsiaTheme="minorEastAsia"/>
                <w:bCs/>
                <w:color w:val="000000"/>
                <w:kern w:val="0"/>
                <w:sz w:val="18"/>
                <w:szCs w:val="18"/>
                <w:lang w:val="en-US" w:eastAsia="zh-CN" w:bidi="ar-SA"/>
              </w:rPr>
              <w:t>A级</w:t>
            </w:r>
          </w:p>
        </w:tc>
        <w:tc>
          <w:tcPr>
            <w:tcW w:w="4284" w:type="dxa"/>
            <w:vMerge w:val="continue"/>
            <w:tcBorders>
              <w:left w:val="single" w:color="000000" w:sz="4" w:space="0"/>
              <w:right w:val="single" w:color="000000" w:sz="4" w:space="0"/>
            </w:tcBorders>
            <w:shd w:val="clear" w:color="auto" w:fill="auto"/>
            <w:noWrap/>
            <w:tcMar>
              <w:top w:w="10" w:type="dxa"/>
              <w:left w:w="10" w:type="dxa"/>
              <w:right w:w="10"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exact"/>
        </w:trPr>
        <w:tc>
          <w:tcPr>
            <w:tcW w:w="28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0—20（含）分</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Cs/>
                <w:color w:val="000000"/>
                <w:kern w:val="0"/>
                <w:sz w:val="18"/>
                <w:szCs w:val="18"/>
                <w:lang w:val="en-US" w:eastAsia="zh-CN" w:bidi="ar-SA"/>
              </w:rPr>
            </w:pP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Cs/>
                <w:color w:val="000000"/>
                <w:kern w:val="0"/>
                <w:sz w:val="18"/>
                <w:szCs w:val="18"/>
                <w:lang w:val="en-US" w:eastAsia="zh-CN" w:bidi="ar-SA"/>
              </w:rPr>
            </w:pPr>
            <w:r>
              <w:rPr>
                <w:rFonts w:hint="eastAsia" w:cs="宋体" w:asciiTheme="minorEastAsia" w:hAnsiTheme="minorEastAsia" w:eastAsiaTheme="minorEastAsia"/>
                <w:bCs/>
                <w:color w:val="000000"/>
                <w:kern w:val="0"/>
                <w:sz w:val="18"/>
                <w:szCs w:val="18"/>
                <w:lang w:val="en-US" w:eastAsia="zh-CN" w:bidi="ar-SA"/>
              </w:rPr>
              <w:t>B级</w:t>
            </w:r>
          </w:p>
        </w:tc>
        <w:tc>
          <w:tcPr>
            <w:tcW w:w="4284" w:type="dxa"/>
            <w:vMerge w:val="continue"/>
            <w:tcBorders>
              <w:left w:val="single" w:color="000000" w:sz="4" w:space="0"/>
              <w:right w:val="single" w:color="000000" w:sz="4" w:space="0"/>
            </w:tcBorders>
            <w:shd w:val="clear" w:color="auto" w:fill="auto"/>
            <w:noWrap/>
            <w:tcMar>
              <w:top w:w="10" w:type="dxa"/>
              <w:left w:w="10" w:type="dxa"/>
              <w:right w:w="10"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trPr>
        <w:tc>
          <w:tcPr>
            <w:tcW w:w="28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21—30（含）</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Cs/>
                <w:color w:val="000000"/>
                <w:kern w:val="0"/>
                <w:sz w:val="18"/>
                <w:szCs w:val="18"/>
                <w:lang w:val="en-US" w:eastAsia="zh-CN" w:bidi="ar-SA"/>
              </w:rPr>
            </w:pPr>
            <w:r>
              <w:rPr>
                <w:rFonts w:hint="eastAsia" w:cs="宋体" w:asciiTheme="minorEastAsia" w:hAnsiTheme="minorEastAsia" w:eastAsiaTheme="minorEastAsia"/>
                <w:bCs/>
                <w:color w:val="000000"/>
                <w:kern w:val="0"/>
                <w:sz w:val="18"/>
                <w:szCs w:val="18"/>
                <w:lang w:val="en-US" w:eastAsia="zh-CN" w:bidi="ar-SA"/>
              </w:rPr>
              <w:t>B级</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Cs/>
                <w:color w:val="000000"/>
                <w:kern w:val="0"/>
                <w:sz w:val="18"/>
                <w:szCs w:val="18"/>
                <w:lang w:val="en-US" w:eastAsia="zh-CN" w:bidi="ar-SA"/>
              </w:rPr>
            </w:pPr>
          </w:p>
        </w:tc>
        <w:tc>
          <w:tcPr>
            <w:tcW w:w="4284" w:type="dxa"/>
            <w:vMerge w:val="continue"/>
            <w:tcBorders>
              <w:left w:val="single" w:color="000000" w:sz="4" w:space="0"/>
              <w:right w:val="single" w:color="000000" w:sz="4" w:space="0"/>
            </w:tcBorders>
            <w:shd w:val="clear" w:color="auto" w:fill="auto"/>
            <w:noWrap/>
            <w:tcMar>
              <w:top w:w="10" w:type="dxa"/>
              <w:left w:w="10" w:type="dxa"/>
              <w:right w:w="10" w:type="dxa"/>
            </w:tcMar>
            <w:vAlign w:val="top"/>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exact"/>
        </w:trPr>
        <w:tc>
          <w:tcPr>
            <w:tcW w:w="28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31—45（含）</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Cs/>
                <w:color w:val="000000"/>
                <w:kern w:val="0"/>
                <w:sz w:val="18"/>
                <w:szCs w:val="18"/>
                <w:lang w:val="en-US" w:eastAsia="zh-CN" w:bidi="ar-SA"/>
              </w:rPr>
            </w:pPr>
            <w:r>
              <w:rPr>
                <w:rFonts w:hint="eastAsia" w:cs="宋体" w:asciiTheme="minorEastAsia" w:hAnsiTheme="minorEastAsia" w:eastAsiaTheme="minorEastAsia"/>
                <w:bCs/>
                <w:color w:val="000000"/>
                <w:kern w:val="0"/>
                <w:sz w:val="18"/>
                <w:szCs w:val="18"/>
                <w:lang w:val="en-US" w:eastAsia="zh-CN" w:bidi="ar-SA"/>
              </w:rPr>
              <w:t>C级</w:t>
            </w:r>
          </w:p>
        </w:tc>
        <w:tc>
          <w:tcPr>
            <w:tcW w:w="2130"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Cs/>
                <w:color w:val="000000"/>
                <w:kern w:val="0"/>
                <w:sz w:val="18"/>
                <w:szCs w:val="18"/>
                <w:lang w:val="en-US" w:eastAsia="zh-CN" w:bidi="ar-SA"/>
              </w:rPr>
            </w:pPr>
            <w:r>
              <w:rPr>
                <w:rFonts w:hint="eastAsia" w:cs="宋体" w:asciiTheme="minorEastAsia" w:hAnsiTheme="minorEastAsia" w:eastAsiaTheme="minorEastAsia"/>
                <w:bCs/>
                <w:color w:val="000000"/>
                <w:kern w:val="0"/>
                <w:sz w:val="18"/>
                <w:szCs w:val="18"/>
                <w:lang w:val="en-US" w:eastAsia="zh-CN" w:bidi="ar-SA"/>
              </w:rPr>
              <w:t>C级</w:t>
            </w:r>
          </w:p>
        </w:tc>
        <w:tc>
          <w:tcPr>
            <w:tcW w:w="4284" w:type="dxa"/>
            <w:vMerge w:val="continue"/>
            <w:tcBorders>
              <w:left w:val="single" w:color="000000" w:sz="4" w:space="0"/>
              <w:right w:val="single" w:color="000000" w:sz="4" w:space="0"/>
            </w:tcBorders>
            <w:shd w:val="clear" w:color="auto" w:fill="auto"/>
            <w:noWrap/>
            <w:tcMar>
              <w:top w:w="10" w:type="dxa"/>
              <w:left w:w="10" w:type="dxa"/>
              <w:right w:w="10"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28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val="0"/>
              <w:autoSpaceDN w:val="0"/>
              <w:bidi w:val="0"/>
              <w:adjustRightInd w:val="0"/>
              <w:spacing w:line="24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46分以上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Cs/>
                <w:color w:val="000000"/>
                <w:kern w:val="0"/>
                <w:sz w:val="18"/>
                <w:szCs w:val="18"/>
                <w:lang w:val="en-US" w:eastAsia="zh-CN" w:bidi="ar-SA"/>
              </w:rPr>
            </w:pPr>
            <w:r>
              <w:rPr>
                <w:rFonts w:hint="eastAsia" w:cs="宋体" w:asciiTheme="minorEastAsia" w:hAnsiTheme="minorEastAsia" w:eastAsiaTheme="minorEastAsia"/>
                <w:bCs/>
                <w:color w:val="000000"/>
                <w:kern w:val="0"/>
                <w:sz w:val="18"/>
                <w:szCs w:val="18"/>
                <w:lang w:val="en-US" w:eastAsia="zh-CN" w:bidi="ar-SA"/>
              </w:rPr>
              <w:t>D级</w:t>
            </w:r>
          </w:p>
        </w:tc>
        <w:tc>
          <w:tcPr>
            <w:tcW w:w="2130"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Cs/>
                <w:color w:val="000000"/>
                <w:kern w:val="0"/>
                <w:sz w:val="18"/>
                <w:szCs w:val="18"/>
                <w:lang w:val="en-US" w:eastAsia="zh-CN" w:bidi="ar-SA"/>
              </w:rPr>
            </w:pPr>
          </w:p>
        </w:tc>
        <w:tc>
          <w:tcPr>
            <w:tcW w:w="4284"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pPr>
        <w:pStyle w:val="6"/>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hint="eastAsia" w:cs="宋体" w:asciiTheme="minorEastAsia" w:hAnsiTheme="minorEastAsia" w:eastAsiaTheme="minorEastAsia"/>
          <w:bCs/>
          <w:color w:val="000000"/>
          <w:kern w:val="0"/>
          <w:sz w:val="18"/>
          <w:szCs w:val="18"/>
          <w:u w:val="single"/>
          <w:lang w:val="en-US" w:eastAsia="zh-CN"/>
        </w:rPr>
      </w:pPr>
      <w:r>
        <w:rPr>
          <w:rFonts w:hint="eastAsia"/>
          <w:b/>
          <w:bCs/>
          <w:lang w:val="zh-CN" w:eastAsia="zh-CN"/>
        </w:rPr>
        <w:t>针对检查发现的问题，现提出以下监督意见：</w:t>
      </w:r>
      <w:r>
        <w:rPr>
          <w:rFonts w:hint="eastAsia" w:cs="宋体" w:asciiTheme="minorEastAsia" w:hAnsiTheme="minorEastAsia" w:eastAsiaTheme="minorEastAsia"/>
          <w:bCs/>
          <w:color w:val="000000"/>
          <w:kern w:val="0"/>
          <w:sz w:val="18"/>
          <w:szCs w:val="18"/>
          <w:u w:val="single"/>
        </w:rPr>
        <w:t xml:space="preserve">                       </w:t>
      </w:r>
      <w:r>
        <w:rPr>
          <w:rFonts w:hint="eastAsia" w:cs="宋体" w:asciiTheme="minorEastAsia" w:hAnsiTheme="minorEastAsia" w:eastAsiaTheme="minorEastAsia"/>
          <w:bCs/>
          <w:color w:val="000000"/>
          <w:kern w:val="0"/>
          <w:sz w:val="18"/>
          <w:szCs w:val="18"/>
          <w:u w:val="single"/>
          <w:lang w:val="en-US" w:eastAsia="zh-CN"/>
        </w:rPr>
        <w:t xml:space="preserve">                                                                                    </w:t>
      </w:r>
    </w:p>
    <w:p>
      <w:pPr>
        <w:pStyle w:val="6"/>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hint="default" w:cs="宋体" w:asciiTheme="minorEastAsia" w:hAnsiTheme="minorEastAsia" w:eastAsiaTheme="minorEastAsia"/>
          <w:bCs/>
          <w:color w:val="000000"/>
          <w:kern w:val="0"/>
          <w:sz w:val="18"/>
          <w:szCs w:val="18"/>
          <w:u w:val="single"/>
          <w:lang w:val="en-US" w:eastAsia="zh-CN"/>
        </w:rPr>
      </w:pPr>
      <w:r>
        <w:rPr>
          <w:rFonts w:hint="eastAsia" w:cs="宋体" w:asciiTheme="minorEastAsia" w:hAnsiTheme="minorEastAsia" w:eastAsiaTheme="minorEastAsia"/>
          <w:bCs/>
          <w:color w:val="000000"/>
          <w:kern w:val="0"/>
          <w:sz w:val="18"/>
          <w:szCs w:val="18"/>
          <w:u w:val="single"/>
          <w:lang w:val="en-US" w:eastAsia="zh-CN"/>
        </w:rPr>
        <w:t xml:space="preserve">                                                                                                                       </w:t>
      </w:r>
    </w:p>
    <w:p>
      <w:pPr>
        <w:pStyle w:val="6"/>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hint="default" w:cs="宋体" w:asciiTheme="minorEastAsia" w:hAnsiTheme="minorEastAsia" w:eastAsiaTheme="minorEastAsia"/>
          <w:bCs/>
          <w:color w:val="000000"/>
          <w:kern w:val="0"/>
          <w:sz w:val="18"/>
          <w:szCs w:val="18"/>
          <w:u w:val="single"/>
          <w:lang w:val="en-US" w:eastAsia="zh-CN"/>
        </w:rPr>
      </w:pPr>
      <w:r>
        <w:rPr>
          <w:rFonts w:hint="eastAsia" w:cs="宋体" w:asciiTheme="minorEastAsia" w:hAnsiTheme="minorEastAsia" w:eastAsiaTheme="minorEastAsia"/>
          <w:bCs/>
          <w:color w:val="000000"/>
          <w:kern w:val="0"/>
          <w:sz w:val="18"/>
          <w:szCs w:val="18"/>
          <w:u w:val="single"/>
          <w:lang w:val="en-US" w:eastAsia="zh-CN"/>
        </w:rPr>
        <w:t xml:space="preserve">                                                                                                                       </w:t>
      </w:r>
    </w:p>
    <w:p>
      <w:pPr>
        <w:pStyle w:val="6"/>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40" w:lineRule="exact"/>
        <w:ind w:leftChars="0"/>
        <w:textAlignment w:val="center"/>
        <w:rPr>
          <w:rFonts w:hint="eastAsia"/>
          <w:kern w:val="0"/>
          <w:sz w:val="18"/>
          <w:szCs w:val="18"/>
        </w:rPr>
      </w:pPr>
      <w:r>
        <w:rPr>
          <w:rFonts w:hint="eastAsia" w:cs="宋体" w:asciiTheme="minorEastAsia" w:hAnsiTheme="minorEastAsia" w:eastAsiaTheme="minorEastAsia"/>
          <w:bCs/>
          <w:color w:val="000000"/>
          <w:kern w:val="0"/>
          <w:sz w:val="18"/>
          <w:szCs w:val="18"/>
        </w:rPr>
        <w:t>对检查表中的其他不符合项目，你单位应按要求于</w:t>
      </w:r>
      <w:r>
        <w:rPr>
          <w:rFonts w:hint="eastAsia" w:cs="宋体" w:asciiTheme="minorEastAsia" w:hAnsiTheme="minorEastAsia" w:eastAsiaTheme="minorEastAsia"/>
          <w:bCs/>
          <w:color w:val="000000"/>
          <w:kern w:val="0"/>
          <w:sz w:val="18"/>
          <w:szCs w:val="18"/>
          <w:u w:val="single"/>
        </w:rPr>
        <w:t xml:space="preserve">      </w:t>
      </w:r>
      <w:r>
        <w:rPr>
          <w:rFonts w:hint="eastAsia" w:cs="宋体" w:asciiTheme="minorEastAsia" w:hAnsiTheme="minorEastAsia" w:eastAsiaTheme="minorEastAsia"/>
          <w:bCs/>
          <w:color w:val="000000"/>
          <w:kern w:val="0"/>
          <w:sz w:val="18"/>
          <w:szCs w:val="18"/>
        </w:rPr>
        <w:t>年</w:t>
      </w:r>
      <w:r>
        <w:rPr>
          <w:rFonts w:hint="eastAsia" w:cs="宋体" w:asciiTheme="minorEastAsia" w:hAnsiTheme="minorEastAsia" w:eastAsiaTheme="minorEastAsia"/>
          <w:bCs/>
          <w:color w:val="000000"/>
          <w:kern w:val="0"/>
          <w:sz w:val="18"/>
          <w:szCs w:val="18"/>
          <w:u w:val="single"/>
        </w:rPr>
        <w:t xml:space="preserve">     </w:t>
      </w:r>
      <w:r>
        <w:rPr>
          <w:rFonts w:hint="eastAsia" w:cs="宋体" w:asciiTheme="minorEastAsia" w:hAnsiTheme="minorEastAsia" w:eastAsiaTheme="minorEastAsia"/>
          <w:bCs/>
          <w:color w:val="000000"/>
          <w:kern w:val="0"/>
          <w:sz w:val="18"/>
          <w:szCs w:val="18"/>
        </w:rPr>
        <w:t>月</w:t>
      </w:r>
      <w:r>
        <w:rPr>
          <w:rFonts w:hint="eastAsia" w:cs="宋体" w:asciiTheme="minorEastAsia" w:hAnsiTheme="minorEastAsia" w:eastAsiaTheme="minorEastAsia"/>
          <w:bCs/>
          <w:color w:val="000000"/>
          <w:kern w:val="0"/>
          <w:sz w:val="18"/>
          <w:szCs w:val="18"/>
          <w:u w:val="single"/>
        </w:rPr>
        <w:t xml:space="preserve">     </w:t>
      </w:r>
      <w:r>
        <w:rPr>
          <w:rFonts w:hint="eastAsia" w:cs="宋体" w:asciiTheme="minorEastAsia" w:hAnsiTheme="minorEastAsia" w:eastAsiaTheme="minorEastAsia"/>
          <w:bCs/>
          <w:color w:val="000000"/>
          <w:kern w:val="0"/>
          <w:sz w:val="18"/>
          <w:szCs w:val="18"/>
        </w:rPr>
        <w:t>日前完成整改，确保食品加工经营过程符合相关法律法规要求。</w:t>
      </w:r>
      <w:r>
        <w:rPr>
          <w:rFonts w:hint="eastAsia" w:cs="宋体" w:asciiTheme="minorEastAsia" w:hAnsiTheme="minorEastAsia" w:eastAsiaTheme="minorEastAsia"/>
          <w:bCs/>
          <w:color w:val="000000"/>
          <w:kern w:val="0"/>
          <w:sz w:val="18"/>
          <w:szCs w:val="18"/>
          <w:lang w:val="en-US" w:eastAsia="zh-CN"/>
        </w:rPr>
        <w:t xml:space="preserve">  </w:t>
      </w:r>
    </w:p>
    <w:p>
      <w:pPr>
        <w:rPr>
          <w:rFonts w:hint="eastAsia"/>
          <w:sz w:val="18"/>
          <w:szCs w:val="18"/>
          <w:u w:val="single"/>
          <w:lang w:val="en-US" w:eastAsia="zh-CN"/>
        </w:rPr>
      </w:pPr>
      <w:r>
        <w:rPr>
          <w:rFonts w:hint="eastAsia"/>
          <w:sz w:val="18"/>
          <w:szCs w:val="18"/>
          <w:lang w:eastAsia="zh-CN"/>
        </w:rPr>
        <w:t>陪同检查人：</w:t>
      </w:r>
      <w:r>
        <w:rPr>
          <w:rFonts w:hint="eastAsia"/>
          <w:sz w:val="18"/>
          <w:szCs w:val="18"/>
          <w:u w:val="single"/>
          <w:lang w:val="en-US" w:eastAsia="zh-CN"/>
        </w:rPr>
        <w:t xml:space="preserve">                                          </w:t>
      </w:r>
      <w:r>
        <w:rPr>
          <w:rFonts w:hint="eastAsia"/>
          <w:sz w:val="18"/>
          <w:szCs w:val="18"/>
          <w:u w:val="none"/>
          <w:lang w:val="en-US" w:eastAsia="zh-CN"/>
        </w:rPr>
        <w:t>检查人员：</w:t>
      </w:r>
      <w:r>
        <w:rPr>
          <w:rFonts w:hint="eastAsia"/>
          <w:sz w:val="18"/>
          <w:szCs w:val="18"/>
          <w:u w:val="single"/>
          <w:lang w:val="en-US" w:eastAsia="zh-CN"/>
        </w:rPr>
        <w:t xml:space="preserve">                          </w:t>
      </w:r>
    </w:p>
    <w:p>
      <w:r>
        <w:rPr>
          <w:rFonts w:hint="eastAsia"/>
          <w:sz w:val="18"/>
          <w:szCs w:val="18"/>
          <w:lang w:val="en-US" w:eastAsia="zh-CN"/>
        </w:rPr>
        <w:t>见证人：</w:t>
      </w:r>
      <w:r>
        <w:rPr>
          <w:rFonts w:hint="eastAsia"/>
          <w:sz w:val="18"/>
          <w:szCs w:val="18"/>
          <w:u w:val="single"/>
          <w:lang w:val="en-US" w:eastAsia="zh-CN"/>
        </w:rPr>
        <w:t xml:space="preserve">                                              </w:t>
      </w:r>
      <w:r>
        <w:rPr>
          <w:rFonts w:hint="eastAsia"/>
          <w:sz w:val="18"/>
          <w:szCs w:val="18"/>
          <w:u w:val="none"/>
          <w:lang w:val="en-US" w:eastAsia="zh-CN"/>
        </w:rPr>
        <w:t>检查时间：</w:t>
      </w:r>
      <w:r>
        <w:rPr>
          <w:rFonts w:hint="eastAsia"/>
          <w:sz w:val="18"/>
          <w:szCs w:val="18"/>
          <w:u w:val="single"/>
          <w:lang w:val="en-US" w:eastAsia="zh-CN"/>
        </w:rPr>
        <w:t xml:space="preserve">                          </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餐饮服务单位规范经营提示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各餐饮服务单位：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餐饮服务单位是安全第一责任人，为保障餐饮服务食品安全，守护经营安全，做好疫情防控工作，现将餐饮服务单位守法经营主要风险点及要求提示如下：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一、国家对食品生产经营实行许可制度，从事餐饮服务的单位应依法取得食品经营许可证，并按照规定经营地址、许可项目、经营时限经营。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 从事接触直接入口食品工作的从业人员应当每年进行健康检查，取得健康证明后方可上岗工作。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三、餐饮服务单位应配备食品安全管理人员。单位应定期对从业人员开展食品安全、安全生产、疫情防控培训。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四、保持就餐场所、食品加工经营场所环境干净、整洁。卫生间应保持整洁、卫生，出口附近设有洗手、干手设施，并定期清理。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五、按照要求对餐饮具进行清洗消毒，不得使用未经清洗消毒的餐具、饮具。消毒后的餐饮具存放于清洁、专用、密闭的保洁设施。不得免费提供一次性餐具。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六、不得使用硼砂、孔雀石绿、氯霉素、亚硝酸盐、回收油脂等国家禁止生产经营的食品及原料。不得超范围、超限量使用食品添加剂。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七、不得经营野生动物和长江非法捕捞渔获物。不得使用自采野生蘑菇、河豚鱼（有合法来源的养殖红鳍东方鲀和养殖暗纹东方鲀除外）等加工制作食品。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八、不得使用过期、腐败变质、油脂酸败、霉变生虫、污秽不洁、混有异物、掺假掺杂或者感官性状异常、未按规定进行检疫或者检疫不合格的肉类、标签不全的食品原料加工制作食品。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九、经营湿米粉要严格按照保存条件、保质期经营，严防米酵菌酸中毒。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十、要建立健全并落实安全生产有关制度和要求，注意用火、用电、用气安全，定期开展安全生产自查。做好安装燃气报警装置等安全措施。三小场所不得违规住人。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按照属地疫情防控最新要求，对顾客做好扫码、查码、测温、佩戴口罩等各项疫情防控要求；对餐饮单位从业人员做好工作期间规范佩戴口罩、按时检测核酸、接种疫苗等各项疫情防控要求，自行登录“深i企”建立从业人员“白名单”并及时更新。经营进口冷链食品的要落实进口冷链食品“四证一码”，进口冷藏食品要落实“二证一码”。做好“第三方冷库”备案，落实冷库疫情防控“十必须”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十二、引导消费者适量点餐，制定、实施防止食品浪费措施，加强员工反食品浪费培训，不得设置最低消费。提倡使用公筷公勺、聚餐分餐制、减少使用一次性餐具。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落实堂食禁止使用不可降解一次性塑料餐具和一次性塑料吸管、打包不得使用一次性不可降解塑料袋等限塑要求。鼓励外卖餐食“食安封签”，倡导餐饮服务业外卖推广使用可循环利用的送餐箱和餐具，推广使用可降解餐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 w:hAnsi="仿宋" w:eastAsia="仿宋" w:cs="仿宋"/>
          <w:sz w:val="32"/>
          <w:szCs w:val="32"/>
          <w:lang w:val="en-US" w:eastAsia="zh-CN"/>
        </w:rPr>
        <w:t>十四、落实室内餐饮服务单位禁止吸烟要求。落实垃圾分类要求，餐厨垃圾由有资质单位回收并做好记录。</w:t>
      </w:r>
    </w:p>
    <w:p>
      <w:pPr>
        <w:pStyle w:val="3"/>
        <w:pageBreakBefore w:val="0"/>
        <w:widowControl w:val="0"/>
        <w:kinsoku/>
        <w:wordWrap/>
        <w:overflowPunct/>
        <w:topLinePunct w:val="0"/>
        <w:autoSpaceDE/>
        <w:autoSpaceDN/>
        <w:bidi w:val="0"/>
        <w:adjustRightInd/>
        <w:snapToGrid/>
        <w:spacing w:line="520" w:lineRule="exact"/>
        <w:jc w:val="right"/>
        <w:textAlignment w:val="auto"/>
        <w:rPr>
          <w:rFonts w:hint="default"/>
          <w:lang w:val="en-US" w:eastAsia="zh-CN"/>
        </w:rPr>
      </w:pPr>
      <w:r>
        <w:rPr>
          <w:rFonts w:hint="eastAsia" w:ascii="仿宋_GB2312" w:hAnsi="仿宋" w:eastAsia="仿宋_GB2312" w:cs="Times New Roman"/>
          <w:sz w:val="32"/>
          <w:szCs w:val="32"/>
          <w:lang w:val="en-US" w:eastAsia="zh-CN"/>
        </w:rPr>
        <w:t>市市场监管局宣</w:t>
      </w:r>
    </w:p>
    <w:p/>
    <w:sectPr>
      <w:pgSz w:w="23811" w:h="16838" w:orient="landscape"/>
      <w:pgMar w:top="720" w:right="720" w:bottom="720" w:left="720" w:header="851" w:footer="992" w:gutter="0"/>
      <w:cols w:equalWidth="0" w:num="2">
        <w:col w:w="10973" w:space="425"/>
        <w:col w:w="1097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E0EA6"/>
    <w:rsid w:val="0B0C529B"/>
    <w:rsid w:val="0B304228"/>
    <w:rsid w:val="0DB534DE"/>
    <w:rsid w:val="0E5B08EB"/>
    <w:rsid w:val="114B1353"/>
    <w:rsid w:val="184A1863"/>
    <w:rsid w:val="18684578"/>
    <w:rsid w:val="19943ED5"/>
    <w:rsid w:val="1BD536AF"/>
    <w:rsid w:val="20570F64"/>
    <w:rsid w:val="205F3514"/>
    <w:rsid w:val="26F45B8D"/>
    <w:rsid w:val="2E70542A"/>
    <w:rsid w:val="31F00ACE"/>
    <w:rsid w:val="35A12331"/>
    <w:rsid w:val="3A875F35"/>
    <w:rsid w:val="3A93241F"/>
    <w:rsid w:val="3E7715A3"/>
    <w:rsid w:val="484D568D"/>
    <w:rsid w:val="49684A13"/>
    <w:rsid w:val="51AD7854"/>
    <w:rsid w:val="554B1594"/>
    <w:rsid w:val="5F9663A5"/>
    <w:rsid w:val="6BEE37C9"/>
    <w:rsid w:val="6DBE0EA6"/>
    <w:rsid w:val="6E1E57DB"/>
    <w:rsid w:val="6E5A5565"/>
    <w:rsid w:val="70DE349C"/>
    <w:rsid w:val="728F2EDD"/>
    <w:rsid w:val="7C6EB9DA"/>
    <w:rsid w:val="7E4F387F"/>
    <w:rsid w:val="7F5D0647"/>
    <w:rsid w:val="BB6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line="600" w:lineRule="exact"/>
    </w:pPr>
    <w:rPr>
      <w:rFonts w:ascii="Calibri" w:hAnsi="Calibri" w:eastAsia="楷体_GB2312"/>
      <w:b/>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eastAsia="宋体" w:cs="宋体"/>
      <w:sz w:val="21"/>
      <w:szCs w:val="21"/>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2022-06-22T06:46:00Z</dcterms:created>
  <dc:creator>洪慕鑫</dc:creator>
  <cp:lastModifiedBy>hongmx1</cp:lastModifiedBy>
  <cp:lastPrinted>2022-07-27T00:54:00Z</cp:lastPrinted>
  <dcterms:modified xsi:type="dcterms:W3CDTF">2022-09-09T11:09:39Z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