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left"/>
        <w:textAlignment w:val="baseline"/>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附</w:t>
      </w:r>
      <w:r>
        <w:rPr>
          <w:rFonts w:hint="eastAsia" w:ascii="仿宋_GB2312" w:hAnsi="仿宋" w:eastAsia="仿宋_GB2312"/>
          <w:color w:val="000000"/>
          <w:kern w:val="0"/>
          <w:sz w:val="32"/>
          <w:szCs w:val="32"/>
          <w:lang w:val="en-US" w:eastAsia="zh-CN"/>
        </w:rPr>
        <w:t>件</w:t>
      </w:r>
      <w:r>
        <w:rPr>
          <w:rFonts w:hint="eastAsia" w:ascii="仿宋_GB2312" w:hAnsi="仿宋" w:eastAsia="仿宋_GB2312"/>
          <w:color w:val="000000"/>
          <w:kern w:val="0"/>
          <w:sz w:val="32"/>
          <w:szCs w:val="32"/>
        </w:rPr>
        <w:t xml:space="preserve"> </w:t>
      </w:r>
    </w:p>
    <w:p>
      <w:pPr>
        <w:adjustRightInd w:val="0"/>
        <w:spacing w:line="360" w:lineRule="auto"/>
        <w:jc w:val="center"/>
        <w:textAlignment w:val="baseline"/>
        <w:rPr>
          <w:rFonts w:hint="eastAsia" w:ascii="宋体" w:hAnsi="宋体"/>
          <w:b/>
          <w:color w:val="000000"/>
          <w:kern w:val="0"/>
          <w:sz w:val="44"/>
          <w:szCs w:val="44"/>
        </w:rPr>
      </w:pPr>
      <w:r>
        <w:rPr>
          <w:rFonts w:hint="eastAsia" w:ascii="宋体" w:hAnsi="宋体"/>
          <w:b/>
          <w:color w:val="000000"/>
          <w:kern w:val="0"/>
          <w:sz w:val="44"/>
          <w:szCs w:val="44"/>
        </w:rPr>
        <w:t>应停用注销特种设备信息表</w:t>
      </w:r>
    </w:p>
    <w:p>
      <w:pPr>
        <w:adjustRightInd w:val="0"/>
        <w:spacing w:line="360" w:lineRule="auto"/>
        <w:jc w:val="center"/>
        <w:textAlignment w:val="baseline"/>
        <w:rPr>
          <w:rFonts w:hint="eastAsia" w:ascii="宋体" w:hAnsi="宋体"/>
          <w:b/>
          <w:color w:val="000000"/>
          <w:kern w:val="0"/>
          <w:sz w:val="44"/>
          <w:szCs w:val="44"/>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深市监福公字〔2022〕</w:t>
      </w:r>
      <w:bookmarkStart w:id="0" w:name="_GoBack"/>
      <w:bookmarkEnd w:id="0"/>
      <w:r>
        <w:rPr>
          <w:rFonts w:hint="eastAsia" w:ascii="仿宋_GB2312" w:hAnsi="宋体" w:eastAsia="仿宋_GB2312"/>
          <w:color w:val="000000"/>
          <w:sz w:val="32"/>
          <w:szCs w:val="32"/>
          <w:lang w:val="en-US" w:eastAsia="zh-CN"/>
        </w:rPr>
        <w:t>130</w:t>
      </w:r>
      <w:r>
        <w:rPr>
          <w:rFonts w:hint="eastAsia" w:ascii="仿宋_GB2312" w:hAnsi="宋体" w:eastAsia="仿宋_GB2312"/>
          <w:color w:val="000000"/>
          <w:sz w:val="32"/>
          <w:szCs w:val="32"/>
        </w:rPr>
        <w:t>号</w:t>
      </w:r>
      <w:r>
        <w:rPr>
          <w:rFonts w:hint="eastAsia" w:ascii="仿宋_GB2312" w:hAnsi="宋体" w:eastAsia="仿宋_GB2312"/>
          <w:color w:val="000000"/>
          <w:sz w:val="32"/>
          <w:szCs w:val="32"/>
          <w:lang w:eastAsia="zh-CN"/>
        </w:rPr>
        <w:t>）</w:t>
      </w:r>
    </w:p>
    <w:tbl>
      <w:tblPr>
        <w:tblStyle w:val="3"/>
        <w:tblW w:w="10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309"/>
        <w:gridCol w:w="2700"/>
        <w:gridCol w:w="3133"/>
        <w:gridCol w:w="996"/>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526"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309"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rPr>
            </w:pPr>
            <w:r>
              <w:rPr>
                <w:rFonts w:hint="eastAsia" w:ascii="仿宋_GB2312" w:hAnsi="宋体" w:eastAsia="仿宋_GB2312"/>
                <w:color w:val="000000"/>
                <w:sz w:val="24"/>
                <w:szCs w:val="24"/>
              </w:rPr>
              <w:t>使用单位</w:t>
            </w:r>
          </w:p>
        </w:tc>
        <w:tc>
          <w:tcPr>
            <w:tcW w:w="2700"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rPr>
            </w:pPr>
            <w:r>
              <w:rPr>
                <w:rFonts w:hint="eastAsia" w:ascii="仿宋_GB2312" w:hAnsi="宋体" w:eastAsia="仿宋_GB2312"/>
                <w:color w:val="000000"/>
                <w:sz w:val="24"/>
                <w:szCs w:val="24"/>
              </w:rPr>
              <w:t>设备注册代码</w:t>
            </w:r>
          </w:p>
        </w:tc>
        <w:tc>
          <w:tcPr>
            <w:tcW w:w="3133"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rPr>
            </w:pPr>
            <w:r>
              <w:rPr>
                <w:rFonts w:hint="eastAsia" w:ascii="仿宋_GB2312" w:hAnsi="宋体" w:eastAsia="仿宋_GB2312"/>
                <w:color w:val="000000"/>
                <w:sz w:val="24"/>
                <w:szCs w:val="24"/>
              </w:rPr>
              <w:t>安装地址</w:t>
            </w:r>
          </w:p>
        </w:tc>
        <w:tc>
          <w:tcPr>
            <w:tcW w:w="996"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rPr>
            </w:pPr>
            <w:r>
              <w:rPr>
                <w:rFonts w:hint="eastAsia" w:ascii="仿宋_GB2312" w:hAnsi="宋体" w:eastAsia="仿宋_GB2312"/>
                <w:color w:val="000000"/>
                <w:sz w:val="24"/>
                <w:szCs w:val="24"/>
              </w:rPr>
              <w:t>设备种类</w:t>
            </w:r>
          </w:p>
        </w:tc>
        <w:tc>
          <w:tcPr>
            <w:tcW w:w="772"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rPr>
            </w:pPr>
            <w:r>
              <w:rPr>
                <w:rFonts w:hint="eastAsia" w:ascii="仿宋_GB2312" w:hAnsi="宋体" w:eastAsia="仿宋_GB2312"/>
                <w:color w:val="000000"/>
                <w:sz w:val="24"/>
                <w:szCs w:val="24"/>
              </w:rPr>
              <w:t>停用/注销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526"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w:t>
            </w:r>
          </w:p>
        </w:tc>
        <w:tc>
          <w:tcPr>
            <w:tcW w:w="2309" w:type="dxa"/>
            <w:noWrap w:val="0"/>
            <w:vAlign w:val="center"/>
          </w:tcPr>
          <w:p>
            <w:pPr>
              <w:adjustRightInd w:val="0"/>
              <w:spacing w:line="360" w:lineRule="auto"/>
              <w:jc w:val="both"/>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深圳诺亚之星医疗美容门诊部</w:t>
            </w:r>
          </w:p>
        </w:tc>
        <w:tc>
          <w:tcPr>
            <w:tcW w:w="2700"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31104403002018012103</w:t>
            </w:r>
          </w:p>
        </w:tc>
        <w:tc>
          <w:tcPr>
            <w:tcW w:w="3133" w:type="dxa"/>
            <w:noWrap w:val="0"/>
            <w:vAlign w:val="center"/>
          </w:tcPr>
          <w:p>
            <w:pPr>
              <w:adjustRightInd w:val="0"/>
              <w:spacing w:line="360" w:lineRule="auto"/>
              <w:jc w:val="both"/>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广东省深圳市福田区香蜜湖街道侨香路1011号</w:t>
            </w:r>
          </w:p>
        </w:tc>
        <w:tc>
          <w:tcPr>
            <w:tcW w:w="996"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 w:eastAsia="zh-CN"/>
              </w:rPr>
              <w:t>电梯</w:t>
            </w:r>
          </w:p>
        </w:tc>
        <w:tc>
          <w:tcPr>
            <w:tcW w:w="772"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526"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2</w:t>
            </w:r>
          </w:p>
        </w:tc>
        <w:tc>
          <w:tcPr>
            <w:tcW w:w="2309" w:type="dxa"/>
            <w:noWrap w:val="0"/>
            <w:vAlign w:val="center"/>
          </w:tcPr>
          <w:p>
            <w:pPr>
              <w:adjustRightInd w:val="0"/>
              <w:spacing w:line="360" w:lineRule="auto"/>
              <w:jc w:val="both"/>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深圳市海游荟餐饮管理有限公司</w:t>
            </w:r>
          </w:p>
        </w:tc>
        <w:tc>
          <w:tcPr>
            <w:tcW w:w="2700"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34304403002019019202</w:t>
            </w:r>
          </w:p>
        </w:tc>
        <w:tc>
          <w:tcPr>
            <w:tcW w:w="3133" w:type="dxa"/>
            <w:noWrap w:val="0"/>
            <w:vAlign w:val="center"/>
          </w:tcPr>
          <w:p>
            <w:pPr>
              <w:adjustRightInd w:val="0"/>
              <w:spacing w:line="360" w:lineRule="auto"/>
              <w:jc w:val="both"/>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广东省深圳市福田区华富街道新浩e都C栋102</w:t>
            </w:r>
          </w:p>
        </w:tc>
        <w:tc>
          <w:tcPr>
            <w:tcW w:w="996"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电梯</w:t>
            </w:r>
          </w:p>
        </w:tc>
        <w:tc>
          <w:tcPr>
            <w:tcW w:w="772" w:type="dxa"/>
            <w:noWrap w:val="0"/>
            <w:vAlign w:val="center"/>
          </w:tcPr>
          <w:p>
            <w:pPr>
              <w:adjustRightInd w:val="0"/>
              <w:spacing w:line="360" w:lineRule="auto"/>
              <w:jc w:val="center"/>
              <w:textAlignment w:val="baseline"/>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526" w:type="dxa"/>
            <w:noWrap w:val="0"/>
            <w:vAlign w:val="center"/>
          </w:tcPr>
          <w:p>
            <w:pPr>
              <w:adjustRightInd w:val="0"/>
              <w:spacing w:line="360" w:lineRule="auto"/>
              <w:jc w:val="center"/>
              <w:textAlignment w:val="baseline"/>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3</w:t>
            </w:r>
          </w:p>
        </w:tc>
        <w:tc>
          <w:tcPr>
            <w:tcW w:w="2309" w:type="dxa"/>
            <w:noWrap w:val="0"/>
            <w:vAlign w:val="center"/>
          </w:tcPr>
          <w:p>
            <w:pPr>
              <w:adjustRightInd w:val="0"/>
              <w:spacing w:line="360" w:lineRule="auto"/>
              <w:jc w:val="both"/>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深圳市琳达李服饰有限公司</w:t>
            </w:r>
          </w:p>
        </w:tc>
        <w:tc>
          <w:tcPr>
            <w:tcW w:w="2700"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31104403002020026631</w:t>
            </w:r>
          </w:p>
        </w:tc>
        <w:tc>
          <w:tcPr>
            <w:tcW w:w="3133" w:type="dxa"/>
            <w:noWrap w:val="0"/>
            <w:vAlign w:val="center"/>
          </w:tcPr>
          <w:p>
            <w:pPr>
              <w:adjustRightInd w:val="0"/>
              <w:spacing w:line="360" w:lineRule="auto"/>
              <w:jc w:val="both"/>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广东省深圳市福田区华富街道深业上城LC420</w:t>
            </w:r>
          </w:p>
        </w:tc>
        <w:tc>
          <w:tcPr>
            <w:tcW w:w="996"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电梯</w:t>
            </w:r>
          </w:p>
        </w:tc>
        <w:tc>
          <w:tcPr>
            <w:tcW w:w="772" w:type="dxa"/>
            <w:noWrap w:val="0"/>
            <w:vAlign w:val="center"/>
          </w:tcPr>
          <w:p>
            <w:pPr>
              <w:adjustRightInd w:val="0"/>
              <w:spacing w:line="360" w:lineRule="auto"/>
              <w:jc w:val="center"/>
              <w:textAlignment w:val="baseline"/>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526" w:type="dxa"/>
            <w:noWrap w:val="0"/>
            <w:vAlign w:val="center"/>
          </w:tcPr>
          <w:p>
            <w:pPr>
              <w:adjustRightInd w:val="0"/>
              <w:spacing w:line="360" w:lineRule="auto"/>
              <w:jc w:val="center"/>
              <w:textAlignment w:val="baseline"/>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4</w:t>
            </w:r>
          </w:p>
        </w:tc>
        <w:tc>
          <w:tcPr>
            <w:tcW w:w="2309" w:type="dxa"/>
            <w:noWrap w:val="0"/>
            <w:vAlign w:val="center"/>
          </w:tcPr>
          <w:p>
            <w:pPr>
              <w:adjustRightInd w:val="0"/>
              <w:spacing w:line="360" w:lineRule="auto"/>
              <w:jc w:val="both"/>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深圳市福田区强东百货商店</w:t>
            </w:r>
          </w:p>
        </w:tc>
        <w:tc>
          <w:tcPr>
            <w:tcW w:w="2700" w:type="dxa"/>
            <w:noWrap w:val="0"/>
            <w:vAlign w:val="center"/>
          </w:tcPr>
          <w:p>
            <w:pPr>
              <w:adjustRightInd w:val="0"/>
              <w:spacing w:line="360" w:lineRule="auto"/>
              <w:jc w:val="center"/>
              <w:textAlignment w:val="baseline"/>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51104403002021000897</w:t>
            </w:r>
          </w:p>
        </w:tc>
        <w:tc>
          <w:tcPr>
            <w:tcW w:w="3133" w:type="dxa"/>
            <w:noWrap w:val="0"/>
            <w:vAlign w:val="center"/>
          </w:tcPr>
          <w:p>
            <w:pPr>
              <w:adjustRightInd w:val="0"/>
              <w:spacing w:line="360" w:lineRule="auto"/>
              <w:jc w:val="both"/>
              <w:textAlignment w:val="baseline"/>
              <w:rPr>
                <w:rFonts w:hint="eastAsia" w:ascii="仿宋_GB2312" w:hAnsi="宋体" w:eastAsia="仿宋_GB2312"/>
                <w:color w:val="000000"/>
                <w:sz w:val="24"/>
                <w:szCs w:val="24"/>
                <w:lang w:val="en-US" w:eastAsia="zh-CN"/>
              </w:rPr>
            </w:pPr>
            <w:r>
              <w:rPr>
                <w:rFonts w:hint="default" w:ascii="仿宋_GB2312" w:hAnsi="宋体" w:eastAsia="仿宋_GB2312"/>
                <w:color w:val="000000"/>
                <w:sz w:val="24"/>
                <w:szCs w:val="24"/>
                <w:lang w:val="en-US" w:eastAsia="zh-CN"/>
              </w:rPr>
              <w:t>深圳市福田区园岭街道南天社区笋岗西路南天一花园地铁工地宿舍楼A栋A1-07</w:t>
            </w:r>
          </w:p>
        </w:tc>
        <w:tc>
          <w:tcPr>
            <w:tcW w:w="996" w:type="dxa"/>
            <w:noWrap w:val="0"/>
            <w:vAlign w:val="center"/>
          </w:tcPr>
          <w:p>
            <w:pPr>
              <w:adjustRightInd w:val="0"/>
              <w:spacing w:line="360" w:lineRule="auto"/>
              <w:jc w:val="center"/>
              <w:textAlignment w:val="baseline"/>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场（厂）内专用机动车辆</w:t>
            </w:r>
          </w:p>
        </w:tc>
        <w:tc>
          <w:tcPr>
            <w:tcW w:w="772" w:type="dxa"/>
            <w:noWrap w:val="0"/>
            <w:vAlign w:val="center"/>
          </w:tcPr>
          <w:p>
            <w:pPr>
              <w:adjustRightInd w:val="0"/>
              <w:spacing w:line="360" w:lineRule="auto"/>
              <w:jc w:val="center"/>
              <w:textAlignment w:val="baseline"/>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停用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C79D4"/>
    <w:rsid w:val="1662289E"/>
    <w:rsid w:val="2E296A01"/>
    <w:rsid w:val="3BEB5E17"/>
    <w:rsid w:val="40172D01"/>
    <w:rsid w:val="422D6E82"/>
    <w:rsid w:val="59AD7349"/>
    <w:rsid w:val="5BE9597C"/>
    <w:rsid w:val="756F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2022-09-15T01:34:00Z</dcterms:created>
  <dc:creator>sunrh1</dc:creator>
  <cp:lastModifiedBy>sunrh1</cp:lastModifiedBy>
  <dcterms:modified xsi:type="dcterms:W3CDTF">2022-09-15T01:39:35Z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