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w:t>
      </w:r>
    </w:p>
    <w:p>
      <w:pPr>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深圳市菜篮子基地综合考评自评评分表</w:t>
      </w:r>
    </w:p>
    <w:p>
      <w:p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3"/>
        <w:tblW w:w="14174" w:type="dxa"/>
        <w:tblInd w:w="0" w:type="dxa"/>
        <w:tblLayout w:type="fixed"/>
        <w:tblCellMar>
          <w:top w:w="0" w:type="dxa"/>
          <w:left w:w="108" w:type="dxa"/>
          <w:bottom w:w="0" w:type="dxa"/>
          <w:right w:w="108" w:type="dxa"/>
        </w:tblCellMar>
      </w:tblPr>
      <w:tblGrid>
        <w:gridCol w:w="1383"/>
        <w:gridCol w:w="709"/>
        <w:gridCol w:w="4394"/>
        <w:gridCol w:w="709"/>
        <w:gridCol w:w="5820"/>
        <w:gridCol w:w="1159"/>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709" w:type="dxa"/>
            <w:tcBorders>
              <w:top w:val="single" w:color="auto" w:sz="4" w:space="0"/>
              <w:left w:val="nil"/>
              <w:bottom w:val="nil"/>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自评得分</w:t>
            </w:r>
          </w:p>
        </w:tc>
      </w:tr>
      <w:tr>
        <w:tblPrEx>
          <w:tblCellMar>
            <w:top w:w="0" w:type="dxa"/>
            <w:left w:w="108" w:type="dxa"/>
            <w:bottom w:w="0" w:type="dxa"/>
            <w:right w:w="108" w:type="dxa"/>
          </w:tblCellMar>
        </w:tblPrEx>
        <w:trPr>
          <w:trHeight w:val="9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394"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w:t>
            </w:r>
            <w:bookmarkStart w:id="0" w:name="_GoBack"/>
            <w:bookmarkEnd w:id="0"/>
            <w:r>
              <w:rPr>
                <w:rFonts w:hint="eastAsia" w:ascii="仿宋_GB2312" w:hAnsi="仿宋_GB2312" w:eastAsia="仿宋_GB2312" w:cs="仿宋_GB2312"/>
                <w:color w:val="000000"/>
                <w:kern w:val="0"/>
              </w:rPr>
              <w:t>法》相关要求。</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20" w:type="dxa"/>
            <w:tcBorders>
              <w:top w:val="nil"/>
              <w:left w:val="nil"/>
              <w:bottom w:val="single" w:color="auto" w:sz="4" w:space="0"/>
              <w:right w:val="single" w:color="auto" w:sz="4" w:space="0"/>
            </w:tcBorders>
            <w:noWrap w:val="0"/>
            <w:vAlign w:val="center"/>
          </w:tcPr>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1）蔬菜水果基地：省外基地面积1000亩以上、省内市外基地面积500亩以上、本市基地</w:t>
            </w:r>
            <w:r>
              <w:rPr>
                <w:rFonts w:hint="eastAsia" w:ascii="仿宋_GB2312" w:hAnsi="仿宋_GB2312" w:eastAsia="仿宋_GB2312" w:cs="仿宋_GB2312"/>
                <w:color w:val="000000"/>
                <w:kern w:val="0"/>
                <w:szCs w:val="24"/>
              </w:rPr>
              <w:t>面积</w:t>
            </w:r>
            <w:r>
              <w:rPr>
                <w:rFonts w:ascii="仿宋_GB2312" w:hAnsi="仿宋_GB2312" w:eastAsia="仿宋_GB2312" w:cs="仿宋_GB2312"/>
                <w:color w:val="000000"/>
                <w:kern w:val="0"/>
                <w:szCs w:val="24"/>
              </w:rPr>
              <w:t>200亩以上</w:t>
            </w:r>
            <w:r>
              <w:rPr>
                <w:rFonts w:hint="eastAsia" w:ascii="仿宋_GB2312" w:hAnsi="仿宋_GB2312" w:eastAsia="仿宋_GB2312" w:cs="仿宋_GB2312"/>
                <w:color w:val="000000"/>
                <w:kern w:val="0"/>
                <w:szCs w:val="24"/>
              </w:rPr>
              <w:t>；</w:t>
            </w:r>
          </w:p>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2）畜禽蛋奶基地：生猪养殖年出栏1万头以上，肉牛、肉羊养殖年出栏500头以上，肉禽养殖年出栏10万只以上，蛋禽年产蛋200吨以上，奶牛存栏500头以上；</w:t>
            </w:r>
          </w:p>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3）水产基地：以池塘、网箱养殖为主的面积在1500亩以上，工厂化养殖水体1500立方米以上；</w:t>
            </w:r>
          </w:p>
          <w:p>
            <w:pPr>
              <w:pStyle w:val="2"/>
              <w:spacing w:line="240" w:lineRule="exact"/>
              <w:jc w:val="left"/>
              <w:rPr>
                <w:rFonts w:ascii="仿宋_GB2312" w:hAnsi="仿宋_GB2312" w:eastAsia="仿宋_GB2312" w:cs="仿宋_GB2312"/>
                <w:color w:val="000000"/>
                <w:spacing w:val="-8"/>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4）</w:t>
            </w:r>
            <w:r>
              <w:rPr>
                <w:rFonts w:ascii="仿宋_GB2312" w:hAnsi="仿宋_GB2312" w:eastAsia="仿宋_GB2312" w:cs="仿宋_GB2312"/>
                <w:color w:val="000000"/>
                <w:spacing w:val="-8"/>
                <w:kern w:val="0"/>
                <w:szCs w:val="24"/>
              </w:rPr>
              <w:t>农产品加工配送基地：农产品年初级加工配送量3000吨以上</w:t>
            </w:r>
            <w:r>
              <w:rPr>
                <w:rFonts w:hint="eastAsia" w:ascii="仿宋_GB2312" w:hAnsi="仿宋_GB2312" w:eastAsia="仿宋_GB2312" w:cs="仿宋_GB2312"/>
                <w:color w:val="000000"/>
                <w:spacing w:val="-8"/>
                <w:kern w:val="0"/>
                <w:szCs w:val="24"/>
              </w:rPr>
              <w:t>；</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w:t>
            </w:r>
            <w:r>
              <w:rPr>
                <w:rFonts w:hint="eastAsia" w:ascii="仿宋_GB2312" w:hAnsi="仿宋_GB2312" w:eastAsia="仿宋_GB2312" w:cs="仿宋_GB2312"/>
                <w:color w:val="000000"/>
                <w:kern w:val="0"/>
              </w:rPr>
              <w:t>务农产品年交易额</w:t>
            </w:r>
            <w:r>
              <w:rPr>
                <w:rFonts w:ascii="仿宋_GB2312" w:hAnsi="仿宋_GB2312" w:eastAsia="仿宋_GB2312" w:cs="仿宋_GB2312"/>
                <w:color w:val="000000"/>
                <w:kern w:val="0"/>
              </w:rPr>
              <w:t>1亿元以上。</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自综合考评通知发布之日起三年内获得深圳市菜篮子基地认定后继续加强基地基础设施建设且获得深圳市农业发展有关专项资金资助。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w:t>
            </w:r>
            <w:r>
              <w:rPr>
                <w:rFonts w:ascii="仿宋_GB2312" w:hAnsi="仿宋_GB2312" w:eastAsia="仿宋_GB2312" w:cs="仿宋_GB2312"/>
                <w:color w:val="000000"/>
                <w:kern w:val="0"/>
              </w:rPr>
              <w:t>3分，否则得0分。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9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394"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农产品</w:t>
            </w:r>
            <w:r>
              <w:rPr>
                <w:rFonts w:ascii="仿宋_GB2312" w:hAnsi="仿宋_GB2312" w:eastAsia="仿宋_GB2312" w:cs="仿宋_GB2312"/>
              </w:rPr>
              <w:t>加工配送基地：原料来源、产品销售、质量检测、不合格品处理等记录；</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农产品</w:t>
            </w:r>
            <w:r>
              <w:rPr>
                <w:rFonts w:ascii="仿宋_GB2312" w:hAnsi="仿宋_GB2312" w:eastAsia="仿宋_GB2312" w:cs="仿宋_GB2312"/>
              </w:rPr>
              <w:t>流通</w:t>
            </w:r>
            <w:r>
              <w:rPr>
                <w:rFonts w:hint="eastAsia" w:ascii="仿宋_GB2312" w:hAnsi="仿宋_GB2312" w:eastAsia="仿宋_GB2312" w:cs="仿宋_GB2312"/>
              </w:rPr>
              <w:t>基地</w:t>
            </w:r>
            <w:r>
              <w:rPr>
                <w:rFonts w:ascii="仿宋_GB2312" w:hAnsi="仿宋_GB2312" w:eastAsia="仿宋_GB2312" w:cs="仿宋_GB2312"/>
              </w:rPr>
              <w:t>：进场交易产品检测记录、不合格品处理记录</w:t>
            </w:r>
            <w:r>
              <w:rPr>
                <w:rFonts w:hint="eastAsia" w:ascii="仿宋_GB2312" w:hAnsi="仿宋_GB2312" w:eastAsia="仿宋_GB2312" w:cs="仿宋_GB2312"/>
              </w:rPr>
              <w:t>。</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农产品加工配送基地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1325"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1）建立相应的检验室得2分，否则此项及下列（2）-（4）项均得0分；（2）配备与基地产品相符合的检验设备和耗材且有购买记录得2分，否则得0分；（3）配备具有检验能力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8分）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spacing w:val="-4"/>
              </w:rPr>
              <w:t>基地产品获得无公害农产品认证证书、绿色食品证书、有机产品认证证书、食用农产品合格证。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394" w:type="dxa"/>
            <w:tcBorders>
              <w:top w:val="nil"/>
              <w:left w:val="nil"/>
              <w:bottom w:val="single" w:color="auto" w:sz="4" w:space="0"/>
              <w:right w:val="single" w:color="auto" w:sz="4" w:space="0"/>
            </w:tcBorders>
            <w:noWrap w:val="0"/>
            <w:vAlign w:val="center"/>
          </w:tcPr>
          <w:p>
            <w:pPr>
              <w:spacing w:line="240" w:lineRule="atLeas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722"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自评得分：</w:t>
      </w:r>
    </w:p>
    <w:p>
      <w:pPr>
        <w:pStyle w:val="2"/>
        <w:ind w:firstLine="110" w:firstLineChars="50"/>
        <w:jc w:val="left"/>
        <w:rPr>
          <w:rFonts w:ascii="仿宋_GB2312" w:hAnsi="仿宋_GB2312" w:eastAsia="仿宋_GB2312" w:cs="仿宋_GB2312"/>
          <w:sz w:val="22"/>
          <w:szCs w:val="28"/>
          <w:u w:val="single"/>
        </w:rPr>
      </w:pPr>
      <w:r>
        <w:rPr>
          <w:rFonts w:hint="eastAsia" w:ascii="仿宋_GB2312" w:hAnsi="仿宋_GB2312" w:eastAsia="仿宋_GB2312" w:cs="仿宋_GB2312"/>
          <w:sz w:val="22"/>
          <w:szCs w:val="28"/>
        </w:rPr>
        <w:t>基地代表（签字）：</w:t>
      </w:r>
    </w:p>
    <w:p>
      <w:r>
        <w:rPr>
          <w:rFonts w:hint="eastAsia" w:ascii="仿宋_GB2312" w:hAnsi="仿宋_GB2312" w:eastAsia="仿宋_GB2312" w:cs="仿宋_GB2312"/>
          <w:sz w:val="22"/>
          <w:szCs w:val="28"/>
        </w:rPr>
        <w:t>评分日期：</w:t>
      </w:r>
      <w:r>
        <w:rPr>
          <w:rFonts w:ascii="仿宋_GB2312" w:hAnsi="仿宋_GB2312" w:eastAsia="仿宋_GB2312" w:cs="仿宋_GB2312"/>
          <w:sz w:val="22"/>
          <w:szCs w:val="28"/>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B63FA"/>
    <w:rsid w:val="0F5B63FA"/>
    <w:rsid w:val="2D7FE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2021-03-11T18:21:00Z</dcterms:created>
  <dc:creator>李蓝</dc:creator>
  <cp:lastModifiedBy>renxx11</cp:lastModifiedBy>
  <dcterms:modified xsi:type="dcterms:W3CDTF">2022-09-15T18:46:53Z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