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160" w:firstLineChars="50"/>
        <w:jc w:val="lef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附件5</w:t>
      </w:r>
    </w:p>
    <w:p>
      <w:pPr>
        <w:spacing w:line="560" w:lineRule="exact"/>
        <w:jc w:val="center"/>
        <w:rPr>
          <w:rFonts w:ascii="方正小标宋简体" w:hAnsi="方正小标宋简体" w:eastAsia="方正小标宋简体" w:cs="方正小标宋简体"/>
          <w:bCs/>
          <w:sz w:val="44"/>
          <w:szCs w:val="36"/>
        </w:rPr>
      </w:pPr>
      <w:r>
        <w:rPr>
          <w:rFonts w:hint="eastAsia" w:ascii="方正小标宋简体" w:hAnsi="方正小标宋简体" w:eastAsia="方正小标宋简体" w:cs="方正小标宋简体"/>
          <w:bCs/>
          <w:sz w:val="44"/>
          <w:szCs w:val="36"/>
        </w:rPr>
        <w:t>深圳市菜篮子基地综合考评专家评分表</w:t>
      </w:r>
    </w:p>
    <w:p>
      <w:pPr>
        <w:spacing w:line="480" w:lineRule="exact"/>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企业名称：</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基地名称：</w:t>
      </w:r>
    </w:p>
    <w:p>
      <w:pPr>
        <w:spacing w:line="480" w:lineRule="exact"/>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基地类别：</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基地地址：</w:t>
      </w:r>
    </w:p>
    <w:tbl>
      <w:tblPr>
        <w:tblStyle w:val="3"/>
        <w:tblW w:w="14174" w:type="dxa"/>
        <w:tblInd w:w="0" w:type="dxa"/>
        <w:tblLayout w:type="fixed"/>
        <w:tblCellMar>
          <w:top w:w="0" w:type="dxa"/>
          <w:left w:w="108" w:type="dxa"/>
          <w:bottom w:w="0" w:type="dxa"/>
          <w:right w:w="108" w:type="dxa"/>
        </w:tblCellMar>
      </w:tblPr>
      <w:tblGrid>
        <w:gridCol w:w="1383"/>
        <w:gridCol w:w="709"/>
        <w:gridCol w:w="4233"/>
        <w:gridCol w:w="873"/>
        <w:gridCol w:w="5814"/>
        <w:gridCol w:w="1162"/>
      </w:tblGrid>
      <w:tr>
        <w:tblPrEx>
          <w:tblCellMar>
            <w:top w:w="0" w:type="dxa"/>
            <w:left w:w="108" w:type="dxa"/>
            <w:bottom w:w="0" w:type="dxa"/>
            <w:right w:w="108" w:type="dxa"/>
          </w:tblCellMar>
        </w:tblPrEx>
        <w:trPr>
          <w:trHeight w:val="20"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评分内容</w:t>
            </w:r>
          </w:p>
        </w:tc>
        <w:tc>
          <w:tcPr>
            <w:tcW w:w="7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序号</w:t>
            </w:r>
          </w:p>
        </w:tc>
        <w:tc>
          <w:tcPr>
            <w:tcW w:w="423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评分标准</w:t>
            </w:r>
          </w:p>
        </w:tc>
        <w:tc>
          <w:tcPr>
            <w:tcW w:w="873" w:type="dxa"/>
            <w:tcBorders>
              <w:top w:val="single" w:color="auto" w:sz="4" w:space="0"/>
              <w:left w:val="nil"/>
              <w:bottom w:val="nil"/>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分数</w:t>
            </w:r>
          </w:p>
        </w:tc>
        <w:tc>
          <w:tcPr>
            <w:tcW w:w="581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评分指南</w:t>
            </w:r>
          </w:p>
        </w:tc>
        <w:tc>
          <w:tcPr>
            <w:tcW w:w="1162"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专家评分</w:t>
            </w:r>
          </w:p>
        </w:tc>
      </w:tr>
      <w:tr>
        <w:tblPrEx>
          <w:tblCellMar>
            <w:top w:w="0" w:type="dxa"/>
            <w:left w:w="108" w:type="dxa"/>
            <w:bottom w:w="0" w:type="dxa"/>
            <w:right w:w="108" w:type="dxa"/>
          </w:tblCellMar>
        </w:tblPrEx>
        <w:trPr>
          <w:trHeight w:val="20" w:hRule="atLeast"/>
        </w:trPr>
        <w:tc>
          <w:tcPr>
            <w:tcW w:w="1383"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1.基地规模</w:t>
            </w:r>
          </w:p>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6分）</w:t>
            </w: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1.1</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基地规模符合《办法》相关要求。</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6</w:t>
            </w:r>
          </w:p>
        </w:tc>
        <w:tc>
          <w:tcPr>
            <w:tcW w:w="5814" w:type="dxa"/>
            <w:tcBorders>
              <w:top w:val="nil"/>
              <w:left w:val="nil"/>
              <w:bottom w:val="single" w:color="auto" w:sz="4" w:space="0"/>
              <w:right w:val="single" w:color="auto" w:sz="4" w:space="0"/>
            </w:tcBorders>
            <w:noWrap w:val="0"/>
            <w:vAlign w:val="center"/>
          </w:tcPr>
          <w:p>
            <w:pPr>
              <w:pStyle w:val="2"/>
              <w:spacing w:line="300" w:lineRule="exact"/>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1）蔬菜水果基地：省外基地面积1000亩以上、省内市外基地面积500亩以上、本市基地</w:t>
            </w:r>
            <w:r>
              <w:rPr>
                <w:rFonts w:hint="eastAsia" w:ascii="仿宋_GB2312" w:hAnsi="仿宋_GB2312" w:eastAsia="仿宋_GB2312" w:cs="仿宋_GB2312"/>
                <w:color w:val="000000"/>
                <w:kern w:val="0"/>
                <w:szCs w:val="24"/>
              </w:rPr>
              <w:t>面积</w:t>
            </w:r>
            <w:r>
              <w:rPr>
                <w:rFonts w:ascii="仿宋_GB2312" w:hAnsi="仿宋_GB2312" w:eastAsia="仿宋_GB2312" w:cs="仿宋_GB2312"/>
                <w:color w:val="000000"/>
                <w:kern w:val="0"/>
                <w:szCs w:val="24"/>
              </w:rPr>
              <w:t>200亩以上</w:t>
            </w:r>
            <w:r>
              <w:rPr>
                <w:rFonts w:hint="eastAsia" w:ascii="仿宋_GB2312" w:hAnsi="仿宋_GB2312" w:eastAsia="仿宋_GB2312" w:cs="仿宋_GB2312"/>
                <w:color w:val="000000"/>
                <w:kern w:val="0"/>
                <w:szCs w:val="24"/>
              </w:rPr>
              <w:t>；</w:t>
            </w:r>
          </w:p>
          <w:p>
            <w:pPr>
              <w:pStyle w:val="2"/>
              <w:spacing w:line="300" w:lineRule="exact"/>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2）畜禽蛋奶基地：生猪养殖年出栏1万头以上，肉牛、肉羊养殖年出栏500头以上，肉禽养殖年出栏10万只以上，蛋禽年产蛋200吨以上，奶牛存栏500头以上；</w:t>
            </w:r>
          </w:p>
          <w:p>
            <w:pPr>
              <w:pStyle w:val="2"/>
              <w:spacing w:line="300" w:lineRule="exact"/>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3）水产基地：以池塘、网箱养殖为主的面积在1500亩以上，工厂化养殖水体1500立方米以上；</w:t>
            </w:r>
          </w:p>
          <w:p>
            <w:pPr>
              <w:pStyle w:val="2"/>
              <w:spacing w:line="300" w:lineRule="exact"/>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4）农产品加工配送基地：农产品年初级加工配送量3000吨以上</w:t>
            </w:r>
            <w:r>
              <w:rPr>
                <w:rFonts w:hint="eastAsia" w:ascii="仿宋_GB2312" w:hAnsi="仿宋_GB2312" w:eastAsia="仿宋_GB2312" w:cs="仿宋_GB2312"/>
                <w:color w:val="000000"/>
                <w:kern w:val="0"/>
                <w:szCs w:val="24"/>
              </w:rPr>
              <w:t>；</w:t>
            </w:r>
          </w:p>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5）农产品流通基地：本市区域内的农产品批发市场农产品年交易额在10亿元以上</w:t>
            </w: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产地批发市场农产品年交易额5亿元以上</w:t>
            </w: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连锁经营、电子商务农产品年交易额1亿元以上。</w:t>
            </w:r>
          </w:p>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基地符合要求且提供有效佐证材料的，得</w:t>
            </w:r>
            <w:r>
              <w:rPr>
                <w:rFonts w:ascii="仿宋_GB2312" w:hAnsi="仿宋_GB2312" w:eastAsia="仿宋_GB2312" w:cs="仿宋_GB2312"/>
                <w:color w:val="000000"/>
                <w:kern w:val="0"/>
              </w:rPr>
              <w:t>6分，否则得0分。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　</w:t>
            </w:r>
          </w:p>
        </w:tc>
      </w:tr>
      <w:tr>
        <w:tblPrEx>
          <w:tblCellMar>
            <w:top w:w="0" w:type="dxa"/>
            <w:left w:w="108" w:type="dxa"/>
            <w:bottom w:w="0" w:type="dxa"/>
            <w:right w:w="108" w:type="dxa"/>
          </w:tblCellMar>
        </w:tblPrEx>
        <w:trPr>
          <w:trHeight w:val="20" w:hRule="atLeast"/>
        </w:trPr>
        <w:tc>
          <w:tcPr>
            <w:tcW w:w="1383"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2.基地建设管理</w:t>
            </w:r>
          </w:p>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10分）</w:t>
            </w: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2.1</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自综合考评通知发布之日起三年内获得深圳市菜篮子基地认定后继续加强基地基础设施建设且获得深圳市农业发展有关专项资金资助。</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提供获得深圳市农业发展有关专项资金资助的有效证明材料得3分，否则得0分。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2.2</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上一年度基地产品、基地土壤或水质的抽检合格报告。</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5814" w:type="dxa"/>
            <w:tcBorders>
              <w:top w:val="nil"/>
              <w:left w:val="nil"/>
              <w:bottom w:val="single" w:color="auto" w:sz="4" w:space="0"/>
              <w:right w:val="single" w:color="auto" w:sz="4" w:space="0"/>
            </w:tcBorders>
            <w:noWrap w:val="0"/>
            <w:vAlign w:val="center"/>
          </w:tcPr>
          <w:p>
            <w:pPr>
              <w:widowControl/>
              <w:spacing w:line="300" w:lineRule="exac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每提供一份合格报告加</w:t>
            </w:r>
            <w:r>
              <w:rPr>
                <w:rFonts w:ascii="仿宋_GB2312" w:hAnsi="仿宋_GB2312" w:eastAsia="仿宋_GB2312" w:cs="仿宋_GB2312"/>
                <w:color w:val="000000"/>
                <w:kern w:val="0"/>
              </w:rPr>
              <w:t>0.5分，最多得3分。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2.3</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spacing w:val="-10"/>
                <w:kern w:val="0"/>
              </w:rPr>
            </w:pPr>
            <w:r>
              <w:rPr>
                <w:rFonts w:hint="eastAsia" w:ascii="仿宋_GB2312" w:hAnsi="仿宋_GB2312" w:eastAsia="仿宋_GB2312" w:cs="仿宋_GB2312"/>
                <w:color w:val="000000"/>
                <w:spacing w:val="-10"/>
                <w:kern w:val="0"/>
              </w:rPr>
              <w:t>加强标准化生产经营管理，制定企业标准并备案。</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每提供一份有效的企业标准得</w:t>
            </w:r>
            <w:r>
              <w:rPr>
                <w:rFonts w:ascii="仿宋_GB2312" w:hAnsi="仿宋_GB2312" w:eastAsia="仿宋_GB2312" w:cs="仿宋_GB2312"/>
                <w:color w:val="000000"/>
                <w:kern w:val="0"/>
              </w:rPr>
              <w:t>0.5分，最多得2分。</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2.4</w:t>
            </w:r>
          </w:p>
        </w:tc>
        <w:tc>
          <w:tcPr>
            <w:tcW w:w="423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基地所在地属于深圳扶贫协作地区。</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基地所在地属于深圳扶贫协作地区（具体到市）得</w:t>
            </w:r>
            <w:r>
              <w:rPr>
                <w:rFonts w:ascii="仿宋_GB2312" w:hAnsi="仿宋_GB2312" w:eastAsia="仿宋_GB2312" w:cs="仿宋_GB2312"/>
                <w:color w:val="000000"/>
                <w:kern w:val="0"/>
              </w:rPr>
              <w:t>2分，深圳扶贫协作地区目录名单以</w:t>
            </w:r>
            <w:r>
              <w:rPr>
                <w:rFonts w:hint="eastAsia" w:ascii="仿宋_GB2312" w:hAnsi="仿宋_GB2312" w:eastAsia="仿宋_GB2312" w:cs="仿宋_GB2312"/>
                <w:color w:val="000000"/>
                <w:kern w:val="0"/>
              </w:rPr>
              <w:t>政府</w:t>
            </w:r>
            <w:r>
              <w:rPr>
                <w:rFonts w:ascii="仿宋_GB2312" w:hAnsi="仿宋_GB2312" w:eastAsia="仿宋_GB2312" w:cs="仿宋_GB2312"/>
                <w:color w:val="000000"/>
                <w:kern w:val="0"/>
              </w:rPr>
              <w:t>门户网站发布的公告为准。</w:t>
            </w:r>
          </w:p>
        </w:tc>
        <w:tc>
          <w:tcPr>
            <w:tcW w:w="1162"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806" w:hRule="atLeast"/>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 xml:space="preserve">3.质量安全管理 </w:t>
            </w:r>
          </w:p>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20分）</w:t>
            </w:r>
          </w:p>
        </w:tc>
        <w:tc>
          <w:tcPr>
            <w:tcW w:w="7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3.1</w:t>
            </w:r>
          </w:p>
        </w:tc>
        <w:tc>
          <w:tcPr>
            <w:tcW w:w="423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rPr>
              <w:t>基地执行从产地到贮运全过程的菜篮子产品生产质量安全控制技术规程和产品质量标准。</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执行相关规程或标准，提供有效佐证材料的，得</w:t>
            </w:r>
            <w:r>
              <w:rPr>
                <w:rFonts w:ascii="仿宋_GB2312" w:hAnsi="仿宋_GB2312" w:eastAsia="仿宋_GB2312" w:cs="仿宋_GB2312"/>
                <w:color w:val="000000"/>
                <w:kern w:val="0"/>
              </w:rPr>
              <w:t>2分，否则得0分。</w:t>
            </w:r>
          </w:p>
        </w:tc>
        <w:tc>
          <w:tcPr>
            <w:tcW w:w="1162"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4994"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423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rPr>
            </w:pPr>
            <w:r>
              <w:rPr>
                <w:rFonts w:hint="eastAsia" w:ascii="仿宋_GB2312" w:hAnsi="仿宋_GB2312" w:eastAsia="仿宋_GB2312" w:cs="仿宋_GB2312"/>
              </w:rPr>
              <w:t>建立质量安全管理档案，记录内容完整、真实，保存</w:t>
            </w:r>
            <w:r>
              <w:rPr>
                <w:rFonts w:ascii="仿宋_GB2312" w:hAnsi="仿宋_GB2312" w:eastAsia="仿宋_GB2312" w:cs="仿宋_GB2312"/>
              </w:rPr>
              <w:t>2年以上，且确保产品质量的可追溯性。质量安全档案包括：</w:t>
            </w:r>
          </w:p>
          <w:p>
            <w:pPr>
              <w:widowControl/>
              <w:spacing w:line="300" w:lineRule="exact"/>
              <w:jc w:val="left"/>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1）蔬菜水果基地：育苗、虫害防治、农药使用、肥料施用、采摘记录等覆盖种植全过程的记录；</w:t>
            </w:r>
          </w:p>
          <w:p>
            <w:pPr>
              <w:widowControl/>
              <w:spacing w:line="300" w:lineRule="exact"/>
              <w:jc w:val="left"/>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2）畜禽蛋奶基地和水产基地：种苗繁育、饲料配方、疫病防治、兽药使用、无害化处理等覆盖养殖全过程的记录；</w:t>
            </w:r>
          </w:p>
          <w:p>
            <w:pPr>
              <w:widowControl/>
              <w:spacing w:line="300" w:lineRule="exact"/>
              <w:jc w:val="left"/>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3）农产品加工配送基地：原料来源、产品销售、质量检测、不合格品处理等记录；</w:t>
            </w:r>
          </w:p>
          <w:p>
            <w:pPr>
              <w:widowControl/>
              <w:spacing w:line="300" w:lineRule="exact"/>
              <w:jc w:val="left"/>
            </w:pPr>
            <w:r>
              <w:rPr>
                <w:rFonts w:hint="eastAsia" w:ascii="仿宋_GB2312" w:hAnsi="仿宋_GB2312" w:eastAsia="仿宋_GB2312" w:cs="仿宋_GB2312"/>
              </w:rPr>
              <w:t>（</w:t>
            </w:r>
            <w:r>
              <w:rPr>
                <w:rFonts w:ascii="仿宋_GB2312" w:hAnsi="仿宋_GB2312" w:eastAsia="仿宋_GB2312" w:cs="仿宋_GB2312"/>
              </w:rPr>
              <w:t>4）农产品流通基地：进场交易产品检测记录、不合格品</w:t>
            </w:r>
            <w:r>
              <w:rPr>
                <w:rFonts w:hint="eastAsia" w:ascii="仿宋_GB2312" w:hAnsi="仿宋_GB2312" w:eastAsia="仿宋_GB2312" w:cs="仿宋_GB2312"/>
              </w:rPr>
              <w:t>处理记录。</w:t>
            </w:r>
          </w:p>
        </w:tc>
        <w:tc>
          <w:tcPr>
            <w:tcW w:w="873" w:type="dxa"/>
            <w:tcBorders>
              <w:top w:val="nil"/>
              <w:left w:val="nil"/>
              <w:bottom w:val="single" w:color="auto" w:sz="4" w:space="0"/>
              <w:right w:val="single" w:color="auto" w:sz="4" w:space="0"/>
            </w:tcBorders>
            <w:noWrap w:val="0"/>
            <w:vAlign w:val="center"/>
          </w:tcPr>
          <w:p>
            <w:pPr>
              <w:widowControl/>
              <w:spacing w:line="300" w:lineRule="exact"/>
              <w:ind w:firstLine="210" w:firstLineChars="100"/>
              <w:jc w:val="left"/>
              <w:rPr>
                <w:rFonts w:ascii="仿宋_GB2312" w:hAnsi="仿宋_GB2312" w:eastAsia="仿宋_GB2312" w:cs="仿宋_GB2312"/>
                <w:color w:val="000000"/>
                <w:kern w:val="0"/>
              </w:rPr>
            </w:pPr>
            <w:r>
              <w:rPr>
                <w:rFonts w:ascii="仿宋_GB2312" w:hAnsi="仿宋_GB2312" w:eastAsia="仿宋_GB2312" w:cs="仿宋_GB2312"/>
              </w:rPr>
              <w:t>5</w:t>
            </w:r>
          </w:p>
        </w:tc>
        <w:tc>
          <w:tcPr>
            <w:tcW w:w="5814" w:type="dxa"/>
            <w:tcBorders>
              <w:top w:val="single" w:color="auto" w:sz="4" w:space="0"/>
              <w:left w:val="nil"/>
              <w:bottom w:val="single" w:color="auto" w:sz="4" w:space="0"/>
              <w:right w:val="single" w:color="auto" w:sz="4" w:space="0"/>
            </w:tcBorders>
            <w:noWrap w:val="0"/>
            <w:vAlign w:val="center"/>
          </w:tcPr>
          <w:p>
            <w:pPr>
              <w:widowControl/>
              <w:pBdr>
                <w:bottom w:val="single" w:color="auto" w:sz="6" w:space="1"/>
              </w:pBdr>
              <w:tabs>
                <w:tab w:val="center" w:pos="4153"/>
                <w:tab w:val="right" w:pos="8306"/>
              </w:tabs>
              <w:snapToGrid w:val="0"/>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b/>
                <w:bCs/>
                <w:color w:val="000000"/>
                <w:kern w:val="0"/>
              </w:rPr>
              <w:t>蔬菜水果基地</w:t>
            </w:r>
            <w:r>
              <w:rPr>
                <w:rFonts w:hint="eastAsia" w:ascii="仿宋_GB2312" w:hAnsi="仿宋_GB2312" w:eastAsia="仿宋_GB2312" w:cs="仿宋_GB2312"/>
                <w:color w:val="000000"/>
                <w:kern w:val="0"/>
              </w:rPr>
              <w:t>：提供育苗、虫害防治、农药使用、肥料施用、采摘记录等覆盖种植全过程的档案和记录，记录可追溯，每提供一种记录得</w:t>
            </w:r>
            <w:r>
              <w:rPr>
                <w:rFonts w:ascii="仿宋_GB2312" w:hAnsi="仿宋_GB2312" w:eastAsia="仿宋_GB2312" w:cs="仿宋_GB2312"/>
                <w:color w:val="000000"/>
                <w:kern w:val="0"/>
              </w:rPr>
              <w:t>1分，否则得0分。</w:t>
            </w:r>
          </w:p>
          <w:p>
            <w:pPr>
              <w:widowControl/>
              <w:pBdr>
                <w:bottom w:val="single" w:color="auto" w:sz="6" w:space="1"/>
              </w:pBdr>
              <w:tabs>
                <w:tab w:val="center" w:pos="4153"/>
                <w:tab w:val="right" w:pos="8306"/>
              </w:tabs>
              <w:snapToGrid w:val="0"/>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b/>
                <w:bCs/>
                <w:color w:val="000000"/>
                <w:kern w:val="0"/>
              </w:rPr>
              <w:t>畜禽蛋奶基地</w:t>
            </w:r>
            <w:r>
              <w:rPr>
                <w:rFonts w:hint="eastAsia" w:ascii="仿宋_GB2312" w:hAnsi="仿宋_GB2312" w:eastAsia="仿宋_GB2312" w:cs="仿宋_GB2312"/>
                <w:color w:val="000000"/>
                <w:kern w:val="0"/>
              </w:rPr>
              <w:t>：提供种苗繁育、饲料配方、疫病防治、兽药使用、无害化处理等覆盖养殖全过程的档案和记录，记录可追溯，每提供一种记录得</w:t>
            </w:r>
            <w:r>
              <w:rPr>
                <w:rFonts w:ascii="仿宋_GB2312" w:hAnsi="仿宋_GB2312" w:eastAsia="仿宋_GB2312" w:cs="仿宋_GB2312"/>
                <w:color w:val="000000"/>
                <w:kern w:val="0"/>
              </w:rPr>
              <w:t xml:space="preserve">1分，否则得0分。                                          </w:t>
            </w:r>
            <w:r>
              <w:rPr>
                <w:rFonts w:hint="eastAsia" w:ascii="仿宋_GB2312" w:hAnsi="仿宋_GB2312" w:eastAsia="仿宋_GB2312" w:cs="仿宋_GB2312"/>
                <w:b/>
                <w:bCs/>
                <w:color w:val="000000"/>
                <w:kern w:val="0"/>
              </w:rPr>
              <w:t>水产基地</w:t>
            </w:r>
            <w:r>
              <w:rPr>
                <w:rFonts w:hint="eastAsia" w:ascii="仿宋_GB2312" w:hAnsi="仿宋_GB2312" w:eastAsia="仿宋_GB2312" w:cs="仿宋_GB2312"/>
                <w:color w:val="000000"/>
                <w:kern w:val="0"/>
              </w:rPr>
              <w:t>：提供种苗繁育、饲料配方、疫病防治、渔药使用、无害化处理等覆盖养殖全过程的档案和记录，记录可追溯，每提供一种记录得</w:t>
            </w:r>
            <w:r>
              <w:rPr>
                <w:rFonts w:ascii="仿宋_GB2312" w:hAnsi="仿宋_GB2312" w:eastAsia="仿宋_GB2312" w:cs="仿宋_GB2312"/>
                <w:color w:val="000000"/>
                <w:kern w:val="0"/>
              </w:rPr>
              <w:t xml:space="preserve">1分，否则得0分。                                                  </w:t>
            </w:r>
            <w:r>
              <w:rPr>
                <w:rFonts w:hint="eastAsia" w:ascii="仿宋_GB2312" w:hAnsi="仿宋_GB2312" w:eastAsia="仿宋_GB2312" w:cs="仿宋_GB2312"/>
                <w:b/>
                <w:bCs/>
                <w:color w:val="000000"/>
                <w:kern w:val="0"/>
              </w:rPr>
              <w:t>农产品加工基地</w:t>
            </w:r>
            <w:r>
              <w:rPr>
                <w:rFonts w:hint="eastAsia" w:ascii="仿宋_GB2312" w:hAnsi="仿宋_GB2312" w:eastAsia="仿宋_GB2312" w:cs="仿宋_GB2312"/>
                <w:color w:val="000000"/>
                <w:kern w:val="0"/>
              </w:rPr>
              <w:t>：提供原料来源（</w:t>
            </w:r>
            <w:r>
              <w:rPr>
                <w:rFonts w:ascii="仿宋_GB2312" w:hAnsi="仿宋_GB2312" w:eastAsia="仿宋_GB2312" w:cs="仿宋_GB2312"/>
                <w:color w:val="000000"/>
                <w:kern w:val="0"/>
              </w:rPr>
              <w:t xml:space="preserve">1分）、产品销售方向（1分）、产品质量检测（2分）、不合格产品的无害化处理（1分）等档案，记录可追溯，每提供一种记录得相应分数，否则得0分。                                            </w:t>
            </w:r>
          </w:p>
          <w:p>
            <w:pPr>
              <w:widowControl/>
              <w:pBdr>
                <w:bottom w:val="single" w:color="auto" w:sz="6" w:space="1"/>
              </w:pBdr>
              <w:tabs>
                <w:tab w:val="center" w:pos="4153"/>
                <w:tab w:val="right" w:pos="8306"/>
              </w:tabs>
              <w:snapToGrid w:val="0"/>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b/>
                <w:bCs/>
                <w:color w:val="000000"/>
                <w:kern w:val="0"/>
              </w:rPr>
              <w:t>农产品流通基地</w:t>
            </w:r>
            <w:r>
              <w:rPr>
                <w:rFonts w:hint="eastAsia" w:ascii="仿宋_GB2312" w:hAnsi="仿宋_GB2312" w:eastAsia="仿宋_GB2312" w:cs="仿宋_GB2312"/>
                <w:color w:val="000000"/>
                <w:kern w:val="0"/>
              </w:rPr>
              <w:t>：进场交易产品检测记录、不合格产品的处置</w:t>
            </w:r>
            <w:r>
              <w:rPr>
                <w:rFonts w:hint="eastAsia" w:ascii="仿宋_GB2312" w:hAnsi="仿宋_GB2312" w:eastAsia="仿宋_GB2312" w:cs="仿宋_GB2312"/>
                <w:color w:val="000000"/>
                <w:kern w:val="0"/>
                <w:lang w:eastAsia="zh-CN"/>
              </w:rPr>
              <w:t>台账</w:t>
            </w:r>
            <w:r>
              <w:rPr>
                <w:rFonts w:hint="eastAsia" w:ascii="仿宋_GB2312" w:hAnsi="仿宋_GB2312" w:eastAsia="仿宋_GB2312" w:cs="仿宋_GB2312"/>
                <w:color w:val="000000"/>
                <w:kern w:val="0"/>
              </w:rPr>
              <w:t>，记录可追溯，每提供一种记录得</w:t>
            </w:r>
            <w:r>
              <w:rPr>
                <w:rFonts w:ascii="仿宋_GB2312" w:hAnsi="仿宋_GB2312" w:eastAsia="仿宋_GB2312" w:cs="仿宋_GB2312"/>
                <w:color w:val="000000"/>
                <w:kern w:val="0"/>
              </w:rPr>
              <w:t>2.5分，否则得0分。</w:t>
            </w:r>
          </w:p>
        </w:tc>
        <w:tc>
          <w:tcPr>
            <w:tcW w:w="116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3.3</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rPr>
              <w:t>建立相应的检验（检疫）室，配备至少一名具备相应检验能力的检验员，或基地</w:t>
            </w:r>
            <w:r>
              <w:rPr>
                <w:rFonts w:hint="eastAsia" w:ascii="仿宋_GB2312" w:hAnsi="仿宋_GB2312" w:eastAsia="仿宋_GB2312" w:cs="仿宋_GB2312"/>
              </w:rPr>
              <w:t>长期委托有资质的第三方检验机构对基地产品进行准出质量安全检测。</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8</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1）建立相应的检验室得2分，否则此项及下列（2）-（4）</w:t>
            </w:r>
            <w:r>
              <w:rPr>
                <w:rFonts w:hint="eastAsia" w:ascii="仿宋_GB2312" w:hAnsi="仿宋_GB2312" w:eastAsia="仿宋_GB2312" w:cs="仿宋_GB2312"/>
                <w:color w:val="000000"/>
                <w:kern w:val="0"/>
              </w:rPr>
              <w:t>项均得</w:t>
            </w:r>
            <w:r>
              <w:rPr>
                <w:rFonts w:ascii="仿宋_GB2312" w:hAnsi="仿宋_GB2312" w:eastAsia="仿宋_GB2312" w:cs="仿宋_GB2312"/>
                <w:color w:val="000000"/>
                <w:kern w:val="0"/>
              </w:rPr>
              <w:t>0分；（2）配备与基地产品相符合的检验设备和耗材且有购买记录得2分，否则得0分；（3）配备具有检验能力</w:t>
            </w:r>
            <w:r>
              <w:rPr>
                <w:rFonts w:ascii="仿宋_GB2312" w:hAnsi="仿宋_GB2312" w:eastAsia="仿宋_GB2312" w:cs="仿宋_GB2312"/>
                <w:color w:val="000000"/>
                <w:spacing w:val="-4"/>
                <w:kern w:val="0"/>
              </w:rPr>
              <w:t>的专业技术人员得2分，否则得0分；（4）具有检验记录，得2分，否则得0分；</w:t>
            </w:r>
            <w:r>
              <w:rPr>
                <w:rFonts w:hint="eastAsia" w:ascii="仿宋_GB2312" w:hAnsi="仿宋_GB2312" w:eastAsia="仿宋_GB2312" w:cs="仿宋_GB2312"/>
                <w:color w:val="000000"/>
                <w:spacing w:val="-4"/>
                <w:kern w:val="0"/>
              </w:rPr>
              <w:t>（</w:t>
            </w:r>
            <w:r>
              <w:rPr>
                <w:rFonts w:ascii="仿宋_GB2312" w:hAnsi="仿宋_GB2312" w:eastAsia="仿宋_GB2312" w:cs="仿宋_GB2312"/>
                <w:color w:val="000000"/>
                <w:spacing w:val="-4"/>
                <w:kern w:val="0"/>
              </w:rPr>
              <w:t>5</w:t>
            </w:r>
            <w:r>
              <w:rPr>
                <w:rFonts w:hint="eastAsia" w:ascii="仿宋_GB2312" w:hAnsi="仿宋_GB2312" w:eastAsia="仿宋_GB2312" w:cs="仿宋_GB2312"/>
                <w:color w:val="000000"/>
                <w:spacing w:val="-4"/>
                <w:kern w:val="0"/>
              </w:rPr>
              <w:t>）</w:t>
            </w:r>
            <w:r>
              <w:rPr>
                <w:rFonts w:ascii="仿宋_GB2312" w:hAnsi="仿宋_GB2312" w:eastAsia="仿宋_GB2312" w:cs="仿宋_GB2312"/>
                <w:color w:val="000000"/>
                <w:spacing w:val="-4"/>
                <w:kern w:val="0"/>
              </w:rPr>
              <w:t>若长期委托有资质的第三方检验机构对基地产品进行</w:t>
            </w:r>
            <w:r>
              <w:rPr>
                <w:rFonts w:hint="eastAsia" w:ascii="仿宋_GB2312" w:hAnsi="仿宋_GB2312" w:eastAsia="仿宋_GB2312" w:cs="仿宋_GB2312"/>
              </w:rPr>
              <w:t>准出</w:t>
            </w:r>
            <w:r>
              <w:rPr>
                <w:rFonts w:ascii="仿宋_GB2312" w:hAnsi="仿宋_GB2312" w:eastAsia="仿宋_GB2312" w:cs="仿宋_GB2312"/>
                <w:color w:val="000000"/>
                <w:spacing w:val="-4"/>
                <w:kern w:val="0"/>
              </w:rPr>
              <w:t>质量安全检测，提供检验报告得8分，否则得0分。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3.4</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rPr>
              <w:t>按规定采购、使用和贮存化肥、农药（兽药）、添加剂等农业投入品。（蔬菜水果基地、畜禽蛋奶基地、水产基地适用）</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5</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按规定采购和使用化肥、农药（兽药）、添加剂等农业投入品，提供有效佐证材料的，得</w:t>
            </w:r>
            <w:r>
              <w:rPr>
                <w:rFonts w:ascii="仿宋_GB2312" w:hAnsi="仿宋_GB2312" w:eastAsia="仿宋_GB2312" w:cs="仿宋_GB2312"/>
                <w:color w:val="000000"/>
                <w:kern w:val="0"/>
              </w:rPr>
              <w:t>5分，否则得0分。</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4.品牌及体系建设                  （8分）</w:t>
            </w:r>
          </w:p>
        </w:tc>
        <w:tc>
          <w:tcPr>
            <w:tcW w:w="7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4.1</w:t>
            </w:r>
          </w:p>
        </w:tc>
        <w:tc>
          <w:tcPr>
            <w:tcW w:w="423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实行品牌化战略，基地</w:t>
            </w:r>
            <w:r>
              <w:rPr>
                <w:rFonts w:hint="eastAsia" w:ascii="仿宋_GB2312" w:hAnsi="仿宋_GB2312" w:eastAsia="仿宋_GB2312" w:cs="仿宋_GB2312"/>
              </w:rPr>
              <w:t>产品获得广东省名牌产品证书、国家名牌产品证书，</w:t>
            </w:r>
            <w:r>
              <w:rPr>
                <w:rFonts w:hint="eastAsia" w:ascii="仿宋_GB2312" w:hAnsi="仿宋_GB2312" w:eastAsia="仿宋_GB2312" w:cs="仿宋_GB2312"/>
                <w:color w:val="000000"/>
                <w:kern w:val="0"/>
              </w:rPr>
              <w:t>具有注册商标。</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提供有效相关证书的，得</w:t>
            </w:r>
            <w:r>
              <w:rPr>
                <w:rFonts w:ascii="仿宋_GB2312" w:hAnsi="仿宋_GB2312" w:eastAsia="仿宋_GB2312" w:cs="仿宋_GB2312"/>
                <w:color w:val="000000"/>
                <w:kern w:val="0"/>
              </w:rPr>
              <w:t>2分，否则得0分。</w:t>
            </w:r>
          </w:p>
        </w:tc>
        <w:tc>
          <w:tcPr>
            <w:tcW w:w="1162"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4.2</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spacing w:val="-10"/>
                <w:kern w:val="0"/>
              </w:rPr>
            </w:pPr>
            <w:r>
              <w:rPr>
                <w:rFonts w:hint="eastAsia" w:ascii="仿宋_GB2312" w:hAnsi="仿宋_GB2312" w:eastAsia="仿宋_GB2312" w:cs="仿宋_GB2312"/>
                <w:spacing w:val="-10"/>
              </w:rPr>
              <w:t>基地产品获得无公害农产品认证证书、绿色食品证书、有机产品认证证书、食用农产品合格证。</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提供有效相关证书或合格证的，得</w:t>
            </w:r>
            <w:r>
              <w:rPr>
                <w:rFonts w:ascii="仿宋_GB2312" w:hAnsi="仿宋_GB2312" w:eastAsia="仿宋_GB2312" w:cs="仿宋_GB2312"/>
                <w:color w:val="000000"/>
                <w:kern w:val="0"/>
              </w:rPr>
              <w:t>2分，否则得0分。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4.3</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rPr>
              <w:t>基地获得危害分析与关键控制点（</w:t>
            </w:r>
            <w:r>
              <w:rPr>
                <w:rFonts w:ascii="仿宋_GB2312" w:hAnsi="仿宋_GB2312" w:eastAsia="仿宋_GB2312" w:cs="仿宋_GB2312"/>
              </w:rPr>
              <w:t>HACCP）、良好农业规范（GAP）、质量</w:t>
            </w:r>
            <w:r>
              <w:rPr>
                <w:rFonts w:hint="eastAsia" w:ascii="仿宋_GB2312" w:hAnsi="仿宋_GB2312" w:eastAsia="仿宋_GB2312" w:cs="仿宋_GB2312"/>
              </w:rPr>
              <w:t>管理体系（</w:t>
            </w:r>
            <w:r>
              <w:rPr>
                <w:rFonts w:ascii="仿宋_GB2312" w:hAnsi="仿宋_GB2312" w:eastAsia="仿宋_GB2312" w:cs="仿宋_GB2312"/>
              </w:rPr>
              <w:t>ISO9000）、环境管理体系（ISO14000）、食品安全管理体系（ISO22000）认证。</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提供有效相关证书的，得</w:t>
            </w:r>
            <w:r>
              <w:rPr>
                <w:rFonts w:ascii="仿宋_GB2312" w:hAnsi="仿宋_GB2312" w:eastAsia="仿宋_GB2312" w:cs="仿宋_GB2312"/>
                <w:color w:val="000000"/>
                <w:kern w:val="0"/>
              </w:rPr>
              <w:t>2分，否则得0分。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4.4</w:t>
            </w:r>
          </w:p>
        </w:tc>
        <w:tc>
          <w:tcPr>
            <w:tcW w:w="4233" w:type="dxa"/>
            <w:tcBorders>
              <w:top w:val="nil"/>
              <w:left w:val="nil"/>
              <w:bottom w:val="single" w:color="auto" w:sz="4" w:space="0"/>
              <w:right w:val="single" w:color="auto" w:sz="4" w:space="0"/>
            </w:tcBorders>
            <w:noWrap w:val="0"/>
            <w:vAlign w:val="center"/>
          </w:tcPr>
          <w:p>
            <w:pPr>
              <w:spacing w:line="300" w:lineRule="exact"/>
              <w:ind w:left="34"/>
              <w:jc w:val="left"/>
              <w:rPr>
                <w:rFonts w:ascii="仿宋_GB2312" w:hAnsi="仿宋_GB2312" w:eastAsia="仿宋_GB2312" w:cs="仿宋_GB2312"/>
                <w:color w:val="000000"/>
                <w:kern w:val="0"/>
              </w:rPr>
            </w:pPr>
            <w:r>
              <w:rPr>
                <w:rFonts w:ascii="仿宋_GB2312" w:hAnsi="仿宋_GB2312" w:eastAsia="仿宋_GB2312" w:cs="仿宋_GB2312"/>
              </w:rPr>
              <w:t>基地接入深圳市智慧市场监管平台</w:t>
            </w:r>
            <w:r>
              <w:rPr>
                <w:rFonts w:hint="eastAsia" w:ascii="仿宋_GB2312" w:hAnsi="仿宋_GB2312" w:eastAsia="仿宋_GB2312" w:cs="仿宋_GB2312"/>
              </w:rPr>
              <w:t>或</w:t>
            </w:r>
            <w:r>
              <w:rPr>
                <w:rFonts w:ascii="仿宋_GB2312" w:hAnsi="仿宋_GB2312" w:eastAsia="仿宋_GB2312" w:cs="仿宋_GB2312"/>
              </w:rPr>
              <w:t>基地产品实现二维码等信息化溯源；</w:t>
            </w:r>
            <w:r>
              <w:rPr>
                <w:rFonts w:hint="eastAsia" w:ascii="仿宋_GB2312" w:hAnsi="仿宋_GB2312" w:eastAsia="仿宋_GB2312" w:cs="仿宋_GB2312"/>
              </w:rPr>
              <w:t>基地产品通过</w:t>
            </w:r>
            <w:r>
              <w:rPr>
                <w:rFonts w:ascii="仿宋_GB2312" w:hAnsi="仿宋_GB2312" w:eastAsia="仿宋_GB2312" w:cs="仿宋_GB2312"/>
              </w:rPr>
              <w:t>供深食品标准体系评价</w:t>
            </w:r>
            <w:r>
              <w:rPr>
                <w:rFonts w:hint="eastAsia" w:ascii="仿宋_GB2312" w:hAnsi="仿宋_GB2312" w:eastAsia="仿宋_GB2312" w:cs="仿宋_GB2312"/>
              </w:rPr>
              <w:t>并被评定为“圳品”。</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提供有效相关证明文件的，得</w:t>
            </w:r>
            <w:r>
              <w:rPr>
                <w:rFonts w:ascii="仿宋_GB2312" w:hAnsi="仿宋_GB2312" w:eastAsia="仿宋_GB2312" w:cs="仿宋_GB2312"/>
                <w:color w:val="000000"/>
                <w:kern w:val="0"/>
              </w:rPr>
              <w:t>2分，否则得0分。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5.产品回运情况</w:t>
            </w: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6分）</w:t>
            </w: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5.1</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基地产品</w:t>
            </w:r>
            <w:r>
              <w:rPr>
                <w:rFonts w:ascii="仿宋_GB2312" w:hAnsi="仿宋_GB2312" w:eastAsia="仿宋_GB2312" w:cs="仿宋_GB2312"/>
                <w:color w:val="000000"/>
                <w:kern w:val="0"/>
              </w:rPr>
              <w:t>50%以上供应深圳市场。</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6</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提供基地回运深圳的产品总量占基地销售的产品总量</w:t>
            </w:r>
            <w:r>
              <w:rPr>
                <w:rFonts w:ascii="仿宋_GB2312" w:hAnsi="仿宋_GB2312" w:eastAsia="仿宋_GB2312" w:cs="仿宋_GB2312"/>
                <w:color w:val="000000"/>
                <w:kern w:val="0"/>
              </w:rPr>
              <w:t>50%及以上证明</w:t>
            </w:r>
            <w:r>
              <w:rPr>
                <w:rFonts w:hint="eastAsia" w:ascii="仿宋_GB2312" w:hAnsi="仿宋_GB2312" w:eastAsia="仿宋_GB2312" w:cs="仿宋_GB2312"/>
                <w:color w:val="000000"/>
                <w:kern w:val="0"/>
              </w:rPr>
              <w:t>的，</w:t>
            </w:r>
            <w:r>
              <w:rPr>
                <w:rFonts w:ascii="仿宋_GB2312" w:hAnsi="仿宋_GB2312" w:eastAsia="仿宋_GB2312" w:cs="仿宋_GB2312"/>
                <w:color w:val="000000"/>
                <w:kern w:val="0"/>
              </w:rPr>
              <w:t>得6分，否则得0分。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6.基地监测情况</w:t>
            </w:r>
          </w:p>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50分）</w:t>
            </w: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Cs/>
                <w:color w:val="000000"/>
                <w:kern w:val="0"/>
              </w:rPr>
            </w:pPr>
            <w:r>
              <w:rPr>
                <w:rFonts w:ascii="仿宋_GB2312" w:hAnsi="仿宋_GB2312" w:eastAsia="仿宋_GB2312" w:cs="仿宋_GB2312"/>
                <w:bCs/>
                <w:color w:val="000000"/>
                <w:kern w:val="0"/>
              </w:rPr>
              <w:t>6.1</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Cs/>
                <w:color w:val="000000"/>
                <w:kern w:val="0"/>
              </w:rPr>
            </w:pPr>
            <w:r>
              <w:rPr>
                <w:rFonts w:hint="eastAsia" w:ascii="仿宋_GB2312" w:hAnsi="仿宋_GB2312" w:eastAsia="仿宋_GB2312" w:cs="仿宋_GB2312"/>
                <w:bCs/>
                <w:color w:val="000000"/>
                <w:kern w:val="0"/>
              </w:rPr>
              <w:t>深圳市</w:t>
            </w:r>
            <w:r>
              <w:rPr>
                <w:rFonts w:ascii="仿宋_GB2312" w:hAnsi="仿宋_GB2312" w:eastAsia="仿宋_GB2312" w:cs="仿宋_GB2312"/>
                <w:bCs/>
                <w:color w:val="000000"/>
                <w:kern w:val="0"/>
              </w:rPr>
              <w:t>菜篮子基地监测情况。</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Cs/>
                <w:color w:val="000000"/>
                <w:kern w:val="0"/>
              </w:rPr>
            </w:pPr>
            <w:r>
              <w:rPr>
                <w:rFonts w:ascii="仿宋_GB2312" w:hAnsi="仿宋_GB2312" w:eastAsia="仿宋_GB2312" w:cs="仿宋_GB2312"/>
                <w:bCs/>
                <w:color w:val="000000"/>
                <w:kern w:val="0"/>
              </w:rPr>
              <w:t>50</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Cs/>
                <w:color w:val="000000"/>
                <w:kern w:val="0"/>
              </w:rPr>
            </w:pPr>
            <w:r>
              <w:rPr>
                <w:rFonts w:hint="eastAsia" w:ascii="仿宋_GB2312" w:hAnsi="仿宋_GB2312" w:eastAsia="仿宋_GB2312" w:cs="仿宋_GB2312"/>
                <w:bCs/>
                <w:color w:val="000000"/>
                <w:kern w:val="0"/>
              </w:rPr>
              <w:t>依据市菜篮子基地监测情况和得分结果，折算成</w:t>
            </w:r>
            <w:r>
              <w:rPr>
                <w:rFonts w:ascii="仿宋_GB2312" w:hAnsi="仿宋_GB2312" w:eastAsia="仿宋_GB2312" w:cs="仿宋_GB2312"/>
                <w:bCs/>
                <w:color w:val="000000"/>
                <w:kern w:val="0"/>
              </w:rPr>
              <w:t>50分制的监测折算分为该项得分。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　</w:t>
            </w:r>
          </w:p>
        </w:tc>
      </w:tr>
    </w:tbl>
    <w:p>
      <w:pPr>
        <w:pStyle w:val="2"/>
        <w:ind w:firstLine="110" w:firstLineChars="50"/>
        <w:jc w:val="left"/>
        <w:rPr>
          <w:rFonts w:ascii="仿宋_GB2312" w:hAnsi="仿宋_GB2312" w:eastAsia="仿宋_GB2312" w:cs="仿宋_GB2312"/>
          <w:sz w:val="22"/>
          <w:szCs w:val="28"/>
        </w:rPr>
      </w:pPr>
      <w:r>
        <w:rPr>
          <w:rFonts w:hint="eastAsia" w:ascii="仿宋_GB2312" w:hAnsi="仿宋_GB2312" w:eastAsia="仿宋_GB2312" w:cs="仿宋_GB2312"/>
          <w:sz w:val="22"/>
          <w:szCs w:val="28"/>
        </w:rPr>
        <w:t>备注：基地规模、基地建设管理、质量安全管理、品牌及体系建设、产品回运情况为自评项；基地监测情况得分依据监测结果折算。</w:t>
      </w:r>
    </w:p>
    <w:p>
      <w:pPr>
        <w:pStyle w:val="2"/>
        <w:ind w:firstLine="110" w:firstLineChars="50"/>
        <w:jc w:val="left"/>
        <w:rPr>
          <w:rFonts w:ascii="仿宋_GB2312" w:hAnsi="仿宋_GB2312" w:eastAsia="仿宋_GB2312" w:cs="仿宋_GB2312"/>
          <w:sz w:val="22"/>
          <w:szCs w:val="28"/>
        </w:rPr>
      </w:pPr>
      <w:r>
        <w:rPr>
          <w:rFonts w:hint="eastAsia" w:ascii="仿宋_GB2312" w:hAnsi="仿宋_GB2312" w:eastAsia="仿宋_GB2312" w:cs="仿宋_GB2312"/>
          <w:sz w:val="22"/>
          <w:szCs w:val="28"/>
        </w:rPr>
        <w:t>自评项的专家评分：</w:t>
      </w:r>
    </w:p>
    <w:p>
      <w:pPr>
        <w:pStyle w:val="2"/>
        <w:ind w:firstLine="110" w:firstLineChars="50"/>
        <w:jc w:val="left"/>
        <w:rPr>
          <w:rFonts w:ascii="仿宋_GB2312" w:hAnsi="仿宋_GB2312" w:eastAsia="仿宋_GB2312" w:cs="仿宋_GB2312"/>
          <w:sz w:val="22"/>
          <w:szCs w:val="28"/>
        </w:rPr>
      </w:pPr>
      <w:r>
        <w:rPr>
          <w:rFonts w:hint="eastAsia" w:ascii="仿宋_GB2312" w:hAnsi="仿宋_GB2312" w:eastAsia="仿宋_GB2312" w:cs="仿宋_GB2312"/>
          <w:sz w:val="22"/>
          <w:szCs w:val="28"/>
        </w:rPr>
        <w:t>监测折算分：</w:t>
      </w:r>
    </w:p>
    <w:p>
      <w:pPr>
        <w:pStyle w:val="2"/>
        <w:ind w:firstLine="110" w:firstLineChars="50"/>
        <w:jc w:val="left"/>
        <w:rPr>
          <w:rFonts w:ascii="仿宋_GB2312" w:hAnsi="仿宋_GB2312" w:eastAsia="仿宋_GB2312" w:cs="仿宋_GB2312"/>
          <w:sz w:val="22"/>
          <w:szCs w:val="28"/>
          <w:u w:val="single"/>
        </w:rPr>
      </w:pPr>
      <w:r>
        <w:rPr>
          <w:rFonts w:hint="eastAsia" w:ascii="仿宋_GB2312" w:hAnsi="仿宋_GB2312" w:eastAsia="仿宋_GB2312" w:cs="仿宋_GB2312"/>
          <w:sz w:val="22"/>
          <w:szCs w:val="28"/>
        </w:rPr>
        <w:t>专家组（签字）：</w:t>
      </w:r>
    </w:p>
    <w:p>
      <w:pPr>
        <w:rPr>
          <w:rFonts w:ascii="仿宋_GB2312" w:hAnsi="仿宋_GB2312" w:eastAsia="仿宋_GB2312" w:cs="仿宋_GB2312"/>
          <w:sz w:val="22"/>
          <w:szCs w:val="28"/>
        </w:rPr>
      </w:pPr>
      <w:r>
        <w:rPr>
          <w:rFonts w:ascii="仿宋_GB2312" w:hAnsi="仿宋_GB2312" w:eastAsia="仿宋_GB2312" w:cs="仿宋_GB2312"/>
          <w:sz w:val="22"/>
          <w:szCs w:val="28"/>
        </w:rPr>
        <w:t xml:space="preserve"> 评分日期：      年    月     日</w:t>
      </w:r>
    </w:p>
    <w:p/>
    <w:sectPr>
      <w:pgSz w:w="16838" w:h="11906" w:orient="landscape"/>
      <w:pgMar w:top="1576"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B2567"/>
    <w:rsid w:val="723526E4"/>
    <w:rsid w:val="FFCF0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2022-07-04T17:50:00Z</dcterms:created>
  <dc:creator>zhangym4</dc:creator>
  <cp:lastModifiedBy>renxx11</cp:lastModifiedBy>
  <dcterms:modified xsi:type="dcterms:W3CDTF">2022-09-15T19:04:43Z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