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2022年第五期知识产权质押融资入园惠企活动</w:t>
      </w:r>
      <w:r>
        <w:rPr>
          <w:rFonts w:hint="eastAsia" w:ascii="黑体" w:hAnsi="黑体" w:eastAsia="黑体" w:cs="黑体"/>
          <w:sz w:val="44"/>
          <w:szCs w:val="44"/>
        </w:rPr>
        <w:t>议程</w:t>
      </w:r>
    </w:p>
    <w:tbl>
      <w:tblPr>
        <w:tblStyle w:val="4"/>
        <w:tblW w:w="8297" w:type="dxa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494"/>
        <w:gridCol w:w="3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培训时间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</w:rPr>
            </w:pPr>
            <w:r>
              <w:rPr>
                <w:rStyle w:val="6"/>
                <w:rFonts w:ascii="Times New Roman" w:hAnsi="Times New Roman" w:eastAsia="仿宋" w:cs="Times New Roman"/>
                <w:b w:val="0"/>
                <w:bCs/>
              </w:rPr>
              <w:t>2022年</w:t>
            </w:r>
            <w:r>
              <w:rPr>
                <w:rStyle w:val="6"/>
                <w:rFonts w:hint="eastAsia" w:ascii="Times New Roman" w:hAnsi="Times New Roman" w:eastAsia="仿宋" w:cs="Times New Roman"/>
                <w:b w:val="0"/>
                <w:bCs/>
                <w:highlight w:val="none"/>
              </w:rPr>
              <w:t>10</w:t>
            </w:r>
            <w:r>
              <w:rPr>
                <w:rStyle w:val="6"/>
                <w:rFonts w:ascii="Times New Roman" w:hAnsi="Times New Roman" w:eastAsia="仿宋" w:cs="Times New Roman"/>
                <w:b w:val="0"/>
                <w:bCs/>
                <w:highlight w:val="none"/>
              </w:rPr>
              <w:t>月</w:t>
            </w:r>
            <w:r>
              <w:rPr>
                <w:rStyle w:val="6"/>
                <w:rFonts w:hint="eastAsia" w:eastAsia="仿宋" w:cs="Times New Roman"/>
                <w:b w:val="0"/>
                <w:bCs/>
                <w:highlight w:val="none"/>
                <w:lang w:val="en-US" w:eastAsia="zh-CN"/>
              </w:rPr>
              <w:t>20</w:t>
            </w:r>
            <w:r>
              <w:rPr>
                <w:rStyle w:val="6"/>
                <w:rFonts w:ascii="Times New Roman" w:hAnsi="Times New Roman" w:eastAsia="仿宋" w:cs="Times New Roman"/>
                <w:b w:val="0"/>
                <w:bCs/>
                <w:highlight w:val="none"/>
              </w:rPr>
              <w:t>日14</w:t>
            </w:r>
            <w:r>
              <w:rPr>
                <w:rStyle w:val="6"/>
                <w:rFonts w:ascii="Times New Roman" w:hAnsi="Times New Roman" w:eastAsia="仿宋" w:cs="Times New Roman"/>
                <w:b w:val="0"/>
                <w:bCs/>
              </w:rPr>
              <w:t>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培训地址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  <w:b w:val="0"/>
                <w:bCs/>
              </w:rPr>
            </w:pPr>
            <w:r>
              <w:rPr>
                <w:rStyle w:val="6"/>
                <w:rFonts w:hint="eastAsia" w:ascii="Times New Roman" w:hAnsi="Times New Roman" w:eastAsia="仿宋" w:cs="Times New Roman"/>
                <w:b w:val="0"/>
                <w:bCs/>
              </w:rPr>
              <w:t>深圳市罗湖区笋岗中心润弘大厦t2栋六层路演厅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时间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议程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仿宋" w:cs="Times New Roman"/>
              </w:rPr>
            </w:pPr>
            <w:r>
              <w:rPr>
                <w:rStyle w:val="6"/>
                <w:rFonts w:ascii="Times New Roman" w:hAnsi="Times New Roman" w:eastAsia="仿宋" w:cs="Times New Roman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14:00-14:30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签到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14:30-14:35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主持人开场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</w:t>
            </w:r>
            <w:r>
              <w:rPr>
                <w:rFonts w:hint="eastAsia" w:eastAsia="仿宋" w:cs="Times New Roman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-14:45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领导致辞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深圳市市场监督管理局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罗湖监管局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14:45-15:05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区惠企政策介绍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深圳市罗湖区科技创新局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05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-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: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探索知识产权证券化先行示范“深圳模式”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深圳市高新投集团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15:15-15:25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江苏银行科技金融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江苏银行深圳田贝支行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15:25-15:40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知识产权运营转化业务培训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广州奥凯信息咨询</w:t>
            </w:r>
          </w:p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15:40-16:00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hd w:val="clear" w:color="auto" w:fill="FFFFFF"/>
              </w:rPr>
              <w:t>交通银行科创服务体系及知识产权融资专题分享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hd w:val="clear" w:color="auto" w:fill="FFFFFF"/>
              </w:rPr>
              <w:t>交通银行罗湖支行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16:00-16:15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金融赋能·助企纾困·小微企业综合金融服务方案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徽商银行深圳分行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16:15-16:40</w:t>
            </w:r>
          </w:p>
        </w:tc>
        <w:tc>
          <w:tcPr>
            <w:tcW w:w="3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仿宋" w:cs="Times New Roman"/>
                <w:b/>
                <w:bCs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lang w:bidi="ar"/>
              </w:rPr>
              <w:t>知识产权评估与应用</w:t>
            </w:r>
          </w:p>
        </w:tc>
        <w:tc>
          <w:tcPr>
            <w:tcW w:w="3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b/>
                <w:bCs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广东靖洋资产评估有限公司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16:4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-17: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00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Times New Roman" w:hAnsi="Times New Roman" w:eastAsia="仿宋" w:cs="Times New Roman"/>
                <w:lang w:bidi="ar"/>
              </w:rPr>
            </w:pPr>
            <w:r>
              <w:rPr>
                <w:rFonts w:ascii="Times New Roman" w:hAnsi="Times New Roman" w:eastAsia="仿宋" w:cs="Times New Roman"/>
                <w:lang w:bidi="ar"/>
              </w:rPr>
              <w:t>交流答疑环节</w:t>
            </w:r>
          </w:p>
        </w:tc>
      </w:tr>
    </w:tbl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int="eastAsia" w:ascii="仿宋" w:hAnsi="仿宋" w:eastAsia="仿宋" w:cs="仿宋"/>
          <w:color w:val="424242"/>
          <w:sz w:val="27"/>
          <w:szCs w:val="27"/>
          <w:shd w:val="clear" w:color="auto" w:fill="FFFFFF"/>
        </w:rPr>
      </w:pPr>
      <w:r>
        <w:drawing>
          <wp:inline distT="0" distB="0" distL="114300" distR="114300">
            <wp:extent cx="3262630" cy="3262630"/>
            <wp:effectExtent l="0" t="0" r="13970" b="139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  <w:rPr>
          <w:rFonts w:hint="eastAsia" w:ascii="仿宋" w:hAnsi="仿宋" w:eastAsia="宋体" w:cs="仿宋"/>
          <w:color w:val="424242"/>
          <w:sz w:val="27"/>
          <w:szCs w:val="27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</w:rPr>
        <w:t>（报名电话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15815734928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，联系人：吴先生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hint="eastAsia" w:ascii="仿宋" w:hAnsi="仿宋" w:eastAsia="宋体" w:cs="仿宋"/>
          <w:color w:val="424242"/>
          <w:sz w:val="27"/>
          <w:szCs w:val="27"/>
          <w:shd w:val="clear" w:color="auto" w:fill="FFFFFF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3235"/>
    <w:rsid w:val="76EF3235"/>
    <w:rsid w:val="7BECC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2022-10-17T22:26:00Z</dcterms:created>
  <dc:creator>WANGQW</dc:creator>
  <cp:lastModifiedBy>WANGQW</cp:lastModifiedBy>
  <dcterms:modified xsi:type="dcterms:W3CDTF">2022-10-17T16:06:04Z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