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华文中宋" w:hAnsi="华文中宋" w:eastAsia="华文中宋" w:cs="华文中宋"/>
          <w:b/>
          <w:sz w:val="44"/>
          <w:szCs w:val="44"/>
        </w:rPr>
      </w:pPr>
      <w:r>
        <w:rPr>
          <w:rFonts w:hint="eastAsia" w:ascii="华文中宋" w:hAnsi="华文中宋" w:eastAsia="华文中宋" w:cs="华文中宋"/>
          <w:b/>
          <w:sz w:val="44"/>
          <w:szCs w:val="44"/>
        </w:rPr>
        <w:t>《深圳市电子商务经营者第三方信用评价与应用</w:t>
      </w:r>
      <w:r>
        <w:rPr>
          <w:rFonts w:hint="eastAsia" w:ascii="华文中宋" w:hAnsi="华文中宋" w:eastAsia="华文中宋" w:cs="华文中宋"/>
          <w:b/>
          <w:sz w:val="44"/>
          <w:szCs w:val="44"/>
          <w:lang w:val="en-US" w:eastAsia="zh-CN"/>
        </w:rPr>
        <w:t>管理</w:t>
      </w:r>
      <w:r>
        <w:rPr>
          <w:rFonts w:hint="eastAsia" w:ascii="华文中宋" w:hAnsi="华文中宋" w:eastAsia="华文中宋" w:cs="华文中宋"/>
          <w:b/>
          <w:sz w:val="44"/>
          <w:szCs w:val="44"/>
        </w:rPr>
        <w:t>办法</w:t>
      </w:r>
      <w:r>
        <w:rPr>
          <w:rFonts w:hint="eastAsia" w:ascii="华文中宋" w:hAnsi="华文中宋" w:eastAsia="华文中宋" w:cs="华文中宋"/>
          <w:b/>
          <w:sz w:val="44"/>
          <w:szCs w:val="44"/>
          <w:lang w:eastAsia="zh-CN"/>
        </w:rPr>
        <w:t>（</w:t>
      </w:r>
      <w:r>
        <w:rPr>
          <w:rFonts w:hint="eastAsia" w:ascii="华文中宋" w:hAnsi="华文中宋" w:eastAsia="华文中宋" w:cs="华文中宋"/>
          <w:b/>
          <w:sz w:val="44"/>
          <w:szCs w:val="44"/>
          <w:lang w:val="en-US" w:eastAsia="zh-CN"/>
        </w:rPr>
        <w:t>征求意见稿</w:t>
      </w:r>
      <w:r>
        <w:rPr>
          <w:rFonts w:hint="eastAsia" w:ascii="华文中宋" w:hAnsi="华文中宋" w:eastAsia="华文中宋" w:cs="华文中宋"/>
          <w:b/>
          <w:sz w:val="44"/>
          <w:szCs w:val="44"/>
          <w:lang w:eastAsia="zh-CN"/>
        </w:rPr>
        <w:t>）</w:t>
      </w:r>
      <w:r>
        <w:rPr>
          <w:rFonts w:hint="eastAsia" w:ascii="华文中宋" w:hAnsi="华文中宋" w:eastAsia="华文中宋" w:cs="华文中宋"/>
          <w:b/>
          <w:sz w:val="44"/>
          <w:szCs w:val="44"/>
        </w:rPr>
        <w:t>》</w:t>
      </w:r>
      <w:r>
        <w:rPr>
          <w:rFonts w:hint="eastAsia" w:ascii="华文中宋" w:hAnsi="华文中宋" w:eastAsia="华文中宋" w:cs="华文中宋"/>
          <w:b/>
          <w:sz w:val="44"/>
          <w:szCs w:val="44"/>
          <w:lang w:val="en-US" w:eastAsia="zh-CN"/>
        </w:rPr>
        <w:t>修订</w:t>
      </w:r>
      <w:r>
        <w:rPr>
          <w:rFonts w:hint="eastAsia" w:ascii="华文中宋" w:hAnsi="华文中宋" w:eastAsia="华文中宋" w:cs="华文中宋"/>
          <w:b/>
          <w:sz w:val="44"/>
          <w:szCs w:val="44"/>
        </w:rPr>
        <w:t>说明</w:t>
      </w:r>
    </w:p>
    <w:p>
      <w:pPr>
        <w:pStyle w:val="2"/>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一、修订背景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为贯彻落实党中央、国务院、省市社会信用体系建设的相关决策部署，推进市场化法治化国际化营商环境建设，构建深圳市电子商务领域信用体系，加强电子商务经营主体信用监管，实现电子商务领域社会共治，深圳市市场监督管理局于2019年印发《深圳市电子商务经营者第三方信用评价与应用暂行办法》（以下简称《暂行办法》），有效期为三年。</w:t>
      </w:r>
    </w:p>
    <w:p>
      <w:pPr>
        <w:pStyle w:val="2"/>
        <w:spacing w:line="560" w:lineRule="exact"/>
        <w:ind w:firstLine="640" w:firstLineChars="200"/>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w:t>
      </w:r>
      <w:r>
        <w:rPr>
          <w:rFonts w:hint="eastAsia" w:ascii="仿宋" w:hAnsi="仿宋" w:eastAsia="仿宋" w:cs="仿宋"/>
          <w:b w:val="0"/>
          <w:bCs w:val="0"/>
          <w:sz w:val="32"/>
          <w:szCs w:val="32"/>
          <w:lang w:val="en-US" w:eastAsia="zh-CN"/>
        </w:rPr>
        <w:t>暂行</w:t>
      </w:r>
      <w:r>
        <w:rPr>
          <w:rFonts w:hint="eastAsia" w:ascii="仿宋" w:hAnsi="仿宋" w:eastAsia="仿宋" w:cs="仿宋"/>
          <w:kern w:val="2"/>
          <w:sz w:val="32"/>
          <w:szCs w:val="32"/>
          <w:lang w:val="en-US" w:eastAsia="zh-CN" w:bidi="ar-SA"/>
        </w:rPr>
        <w:t>办法》自2019年实施以来，有效提升了事中事后监管效能，促进了电子商务市场主体依法诚信经营，在维护电子商务市场持续健康发展方面发挥了积极作用，相关实施成果得到国务院政府职能转变和“放管服”改革小组认可。</w:t>
      </w:r>
    </w:p>
    <w:p>
      <w:pPr>
        <w:pStyle w:val="2"/>
        <w:spacing w:line="560" w:lineRule="exact"/>
        <w:ind w:firstLine="640" w:firstLineChars="200"/>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今年3月，《</w:t>
      </w:r>
      <w:r>
        <w:rPr>
          <w:rFonts w:hint="eastAsia" w:ascii="仿宋" w:hAnsi="仿宋" w:eastAsia="仿宋" w:cs="仿宋"/>
          <w:b w:val="0"/>
          <w:bCs w:val="0"/>
          <w:sz w:val="32"/>
          <w:szCs w:val="32"/>
          <w:lang w:val="en-US" w:eastAsia="zh-CN"/>
        </w:rPr>
        <w:t>暂行</w:t>
      </w:r>
      <w:r>
        <w:rPr>
          <w:rFonts w:hint="eastAsia" w:ascii="仿宋" w:hAnsi="仿宋" w:eastAsia="仿宋" w:cs="仿宋"/>
          <w:kern w:val="2"/>
          <w:sz w:val="32"/>
          <w:szCs w:val="32"/>
          <w:lang w:val="en-US" w:eastAsia="zh-CN" w:bidi="ar-SA"/>
        </w:rPr>
        <w:t>办法》期满失效，结合当前信用监管和电子商务工作需要，</w:t>
      </w:r>
      <w:r>
        <w:rPr>
          <w:rFonts w:hint="eastAsia" w:ascii="仿宋" w:hAnsi="仿宋" w:eastAsia="仿宋" w:cs="仿宋"/>
          <w:sz w:val="32"/>
          <w:szCs w:val="32"/>
          <w:lang w:val="en-US" w:eastAsia="zh-CN"/>
        </w:rPr>
        <w:t>网络交易监管处</w:t>
      </w:r>
      <w:r>
        <w:rPr>
          <w:rFonts w:hint="eastAsia" w:ascii="仿宋" w:hAnsi="仿宋" w:eastAsia="仿宋" w:cs="仿宋"/>
          <w:kern w:val="2"/>
          <w:sz w:val="32"/>
          <w:szCs w:val="32"/>
          <w:lang w:val="en-US" w:eastAsia="zh-CN" w:bidi="ar-SA"/>
        </w:rPr>
        <w:t>组织有关单位及专家，正式启动《</w:t>
      </w:r>
      <w:r>
        <w:rPr>
          <w:rFonts w:hint="eastAsia" w:ascii="仿宋" w:hAnsi="仿宋" w:eastAsia="仿宋" w:cs="仿宋"/>
          <w:b w:val="0"/>
          <w:bCs w:val="0"/>
          <w:sz w:val="32"/>
          <w:szCs w:val="32"/>
          <w:lang w:val="en-US" w:eastAsia="zh-CN"/>
        </w:rPr>
        <w:t>暂行</w:t>
      </w:r>
      <w:r>
        <w:rPr>
          <w:rFonts w:hint="eastAsia" w:ascii="仿宋" w:hAnsi="仿宋" w:eastAsia="仿宋" w:cs="仿宋"/>
          <w:kern w:val="2"/>
          <w:sz w:val="32"/>
          <w:szCs w:val="32"/>
          <w:lang w:val="en-US" w:eastAsia="zh-CN" w:bidi="ar-SA"/>
        </w:rPr>
        <w:t>办法》修订工作，形成《深圳市电子商务经营者第三方信用评价与应用管理办法（征求意见稿）》（以下简称《征求意见稿》），巩固深化已有成果，持续加强电子商务经营主体信用监管，推进社会信用体系建设高质量发展。</w:t>
      </w:r>
    </w:p>
    <w:p>
      <w:pPr>
        <w:pStyle w:val="2"/>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黑体" w:hAnsi="黑体" w:eastAsia="黑体" w:cs="黑体"/>
          <w:sz w:val="32"/>
          <w:szCs w:val="32"/>
          <w:lang w:val="en-US" w:eastAsia="zh-CN"/>
        </w:rPr>
      </w:pPr>
      <w:r>
        <w:rPr>
          <w:rFonts w:hint="eastAsia" w:ascii="黑体" w:hAnsi="黑体" w:eastAsia="黑体" w:cs="黑体"/>
          <w:sz w:val="32"/>
          <w:szCs w:val="32"/>
          <w:lang w:val="en-US" w:eastAsia="zh-CN"/>
        </w:rPr>
        <w:t>二、修订依据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w:t>
      </w:r>
      <w:r>
        <w:rPr>
          <w:rFonts w:hint="eastAsia" w:ascii="仿宋" w:hAnsi="仿宋" w:eastAsia="仿宋" w:cs="仿宋"/>
          <w:kern w:val="2"/>
          <w:sz w:val="32"/>
          <w:szCs w:val="32"/>
          <w:lang w:val="en-US" w:eastAsia="zh-CN" w:bidi="ar-SA"/>
        </w:rPr>
        <w:t>征求意见稿</w:t>
      </w:r>
      <w:r>
        <w:rPr>
          <w:rFonts w:hint="eastAsia" w:ascii="仿宋" w:hAnsi="仿宋" w:eastAsia="仿宋" w:cs="仿宋"/>
          <w:sz w:val="32"/>
          <w:szCs w:val="32"/>
          <w:lang w:val="en-US" w:eastAsia="zh-CN"/>
        </w:rPr>
        <w:t>》的修订主要依据法律法规：</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1.《中华人民共和国电子商务法》；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2.《企业信息公示暂行条例》；</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3.《广东省社会信用条例》；</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outlineLvl w:val="9"/>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4.《深圳经济特区优化营商环境条例》；</w:t>
      </w:r>
    </w:p>
    <w:p>
      <w:pPr>
        <w:pStyle w:val="2"/>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5.《深圳市公共信用信息管理办法》。</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0"/>
        <w:rPr>
          <w:rFonts w:hint="default"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三、修订内容及特点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《征求意见稿》</w:t>
      </w:r>
      <w:r>
        <w:rPr>
          <w:rFonts w:hint="eastAsia" w:ascii="仿宋" w:hAnsi="仿宋" w:eastAsia="仿宋" w:cs="仿宋"/>
          <w:sz w:val="32"/>
          <w:szCs w:val="32"/>
        </w:rPr>
        <w:t>对电子商务经营主体信用监管和信用评价作了规定，即由深圳市电子商务经营者第三方信用评价机构归集、整合电子商务经营主体各类信息资源，根据电子商务经营主体信用评价标准规范开展信用评价，形成信用评价结果并建立信用档案，监管部门以此作为参考依据实施</w:t>
      </w:r>
      <w:r>
        <w:rPr>
          <w:rFonts w:hint="eastAsia" w:ascii="仿宋" w:hAnsi="仿宋" w:eastAsia="仿宋" w:cs="仿宋"/>
          <w:b w:val="0"/>
          <w:bCs w:val="0"/>
          <w:kern w:val="2"/>
          <w:sz w:val="32"/>
          <w:szCs w:val="32"/>
          <w:lang w:val="en-US" w:eastAsia="zh-CN" w:bidi="ar-SA"/>
        </w:rPr>
        <w:t>差异化管理</w:t>
      </w:r>
      <w:r>
        <w:rPr>
          <w:rFonts w:hint="eastAsia" w:ascii="仿宋" w:hAnsi="仿宋" w:eastAsia="仿宋" w:cs="仿宋"/>
          <w:sz w:val="32"/>
          <w:szCs w:val="32"/>
        </w:rPr>
        <w:t>，建立守信激励和失信惩戒机制，推动形成电子商务领域社会共治</w:t>
      </w:r>
      <w:r>
        <w:rPr>
          <w:rFonts w:hint="eastAsia" w:ascii="仿宋" w:hAnsi="仿宋" w:eastAsia="仿宋" w:cs="仿宋"/>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《征求意见稿》共二十七条，包括：目的依据；适用范围；信用评价工作原则；管理机构；</w:t>
      </w:r>
      <w:r>
        <w:rPr>
          <w:rFonts w:hint="eastAsia" w:ascii="仿宋" w:hAnsi="仿宋" w:eastAsia="仿宋"/>
          <w:sz w:val="32"/>
          <w:szCs w:val="32"/>
          <w:lang w:val="en-US" w:eastAsia="zh-CN"/>
        </w:rPr>
        <w:t>信用信息安全管理；信用评价标准规范和程序</w:t>
      </w:r>
      <w:r>
        <w:rPr>
          <w:rFonts w:hint="eastAsia" w:ascii="仿宋" w:hAnsi="仿宋" w:eastAsia="仿宋" w:cs="仿宋"/>
          <w:sz w:val="32"/>
          <w:szCs w:val="32"/>
          <w:lang w:val="en-US" w:eastAsia="zh-CN"/>
        </w:rPr>
        <w:t>；</w:t>
      </w:r>
      <w:r>
        <w:rPr>
          <w:rFonts w:hint="eastAsia" w:ascii="仿宋" w:hAnsi="仿宋" w:eastAsia="仿宋"/>
          <w:sz w:val="32"/>
          <w:szCs w:val="32"/>
          <w:lang w:val="en-US" w:eastAsia="zh-CN"/>
        </w:rPr>
        <w:t>信用评价对象权益保护</w:t>
      </w:r>
      <w:r>
        <w:rPr>
          <w:rFonts w:hint="eastAsia" w:ascii="仿宋" w:hAnsi="仿宋" w:eastAsia="仿宋" w:cs="仿宋"/>
          <w:sz w:val="32"/>
          <w:szCs w:val="32"/>
          <w:lang w:val="en-US" w:eastAsia="zh-CN"/>
        </w:rPr>
        <w:t>；信用评价结果应用等。本次修订内容及特点如下：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sz w:val="32"/>
          <w:szCs w:val="32"/>
          <w:lang w:val="en-US" w:eastAsia="zh-CN"/>
        </w:rPr>
      </w:pPr>
      <w:r>
        <w:rPr>
          <w:rFonts w:hint="eastAsia" w:ascii="楷体" w:hAnsi="楷体" w:eastAsia="楷体" w:cs="楷体"/>
          <w:sz w:val="32"/>
          <w:szCs w:val="32"/>
          <w:lang w:val="en-US" w:eastAsia="zh-CN"/>
        </w:rPr>
        <w:t>（一）修订内容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color w:val="auto"/>
          <w:sz w:val="32"/>
          <w:szCs w:val="32"/>
          <w:lang w:val="en-US" w:eastAsia="zh-CN"/>
        </w:rPr>
      </w:pPr>
      <w:r>
        <w:rPr>
          <w:rFonts w:hint="eastAsia" w:ascii="仿宋" w:hAnsi="仿宋" w:eastAsia="仿宋" w:cs="仿宋"/>
          <w:sz w:val="32"/>
          <w:szCs w:val="32"/>
          <w:lang w:val="en-US" w:eastAsia="zh-CN"/>
        </w:rPr>
        <w:t>本次《征求意见稿》对《暂行办法》原有的第三方信用评价与应用监管流程进行了补充和完善</w:t>
      </w:r>
      <w:r>
        <w:rPr>
          <w:rFonts w:hint="eastAsia" w:ascii="仿宋" w:hAnsi="仿宋" w:eastAsia="仿宋" w:cs="仿宋"/>
          <w:color w:val="auto"/>
          <w:sz w:val="32"/>
          <w:szCs w:val="32"/>
          <w:lang w:val="en-US" w:eastAsia="zh-CN"/>
        </w:rPr>
        <w:t>，新增信用评价机构网络安全责任、信用评价对象权益保护等条款，完善了信用评价过程中信用信息管理、信用评价对象权益保护等环节的管理规定，有利于进一步规范深圳市电子商务经营者第三方信用评价与应用过程，促进电子商务市场健康快速发展。</w:t>
      </w:r>
    </w:p>
    <w:p>
      <w:pPr>
        <w:keepNext w:val="0"/>
        <w:keepLines w:val="0"/>
        <w:pageBreakBefore w:val="0"/>
        <w:widowControl/>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（二）主要特点</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2"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1.《征求意见稿》明确信用评价机构的网络安全责任</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b w:val="0"/>
          <w:bCs w:val="0"/>
          <w:kern w:val="2"/>
          <w:sz w:val="32"/>
          <w:szCs w:val="32"/>
          <w:lang w:val="en-US" w:eastAsia="zh-CN" w:bidi="ar-SA"/>
        </w:rPr>
      </w:pPr>
      <w:r>
        <w:rPr>
          <w:rFonts w:hint="eastAsia" w:ascii="仿宋" w:hAnsi="仿宋" w:eastAsia="仿宋" w:cs="仿宋"/>
          <w:sz w:val="32"/>
          <w:szCs w:val="32"/>
          <w:lang w:val="en-US" w:eastAsia="zh-CN"/>
        </w:rPr>
        <w:t>《征求意见稿》补充了对信用评价机构的网络安全责任规范，要求</w:t>
      </w:r>
      <w:r>
        <w:rPr>
          <w:rFonts w:hint="eastAsia" w:ascii="仿宋" w:hAnsi="仿宋" w:eastAsia="仿宋" w:cs="仿宋"/>
          <w:b w:val="0"/>
          <w:bCs w:val="0"/>
          <w:kern w:val="2"/>
          <w:sz w:val="32"/>
          <w:szCs w:val="32"/>
          <w:lang w:val="en-US" w:eastAsia="zh-CN" w:bidi="ar-SA"/>
        </w:rPr>
        <w:t>信用评价机构</w:t>
      </w:r>
      <w:r>
        <w:rPr>
          <w:rFonts w:hint="eastAsia" w:ascii="仿宋" w:hAnsi="仿宋" w:eastAsia="仿宋" w:cs="仿宋"/>
          <w:b w:val="0"/>
          <w:bCs w:val="0"/>
          <w:color w:val="auto"/>
          <w:kern w:val="2"/>
          <w:sz w:val="32"/>
          <w:szCs w:val="32"/>
          <w:lang w:val="en-US" w:eastAsia="zh-CN" w:bidi="ar-SA"/>
        </w:rPr>
        <w:t>健全网络和数据安全管理制度，</w:t>
      </w:r>
      <w:r>
        <w:rPr>
          <w:rFonts w:hint="eastAsia" w:ascii="仿宋" w:hAnsi="仿宋" w:eastAsia="仿宋" w:cs="仿宋"/>
          <w:b w:val="0"/>
          <w:bCs w:val="0"/>
          <w:kern w:val="2"/>
          <w:sz w:val="32"/>
          <w:szCs w:val="32"/>
          <w:lang w:val="en-US" w:eastAsia="zh-CN" w:bidi="ar-SA"/>
        </w:rPr>
        <w:t>对于开展信用评价业务过程中知悉的国家秘密、商业秘密和个人隐私，信用评价机构及其从业人员应当依法履行保密义务，向境外提供信息应当遵守相关法律法规等内容，</w:t>
      </w:r>
      <w:r>
        <w:rPr>
          <w:rFonts w:hint="eastAsia" w:ascii="仿宋" w:hAnsi="仿宋" w:eastAsia="仿宋"/>
          <w:sz w:val="32"/>
          <w:szCs w:val="32"/>
        </w:rPr>
        <w:t>在充分发挥</w:t>
      </w:r>
      <w:r>
        <w:rPr>
          <w:rFonts w:hint="eastAsia" w:ascii="仿宋" w:hAnsi="仿宋" w:eastAsia="仿宋"/>
          <w:sz w:val="32"/>
          <w:szCs w:val="32"/>
          <w:lang w:val="en-US" w:eastAsia="zh-CN"/>
        </w:rPr>
        <w:t>信用</w:t>
      </w:r>
      <w:r>
        <w:rPr>
          <w:rFonts w:hint="eastAsia" w:ascii="仿宋" w:hAnsi="仿宋" w:eastAsia="仿宋"/>
          <w:sz w:val="32"/>
          <w:szCs w:val="32"/>
        </w:rPr>
        <w:t>信息作用的同时加强信用信息安全和保密管理</w:t>
      </w:r>
      <w:r>
        <w:rPr>
          <w:rFonts w:hint="eastAsia" w:ascii="仿宋" w:hAnsi="仿宋" w:eastAsia="仿宋" w:cs="仿宋"/>
          <w:color w:val="auto"/>
          <w:sz w:val="32"/>
          <w:szCs w:val="32"/>
          <w:lang w:val="en-US" w:eastAsia="zh-CN"/>
        </w:rPr>
        <w:t>。</w:t>
      </w:r>
    </w:p>
    <w:p>
      <w:pPr>
        <w:pStyle w:val="2"/>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仿宋" w:hAnsi="仿宋" w:eastAsia="仿宋" w:cs="仿宋"/>
          <w:b/>
          <w:bCs/>
          <w:sz w:val="32"/>
          <w:szCs w:val="32"/>
          <w:lang w:val="en-US" w:eastAsia="zh-CN"/>
        </w:rPr>
      </w:pPr>
      <w:r>
        <w:rPr>
          <w:rFonts w:hint="eastAsia" w:ascii="仿宋" w:hAnsi="仿宋" w:eastAsia="仿宋" w:cs="仿宋"/>
          <w:b/>
          <w:bCs/>
          <w:color w:val="auto"/>
          <w:sz w:val="32"/>
          <w:szCs w:val="32"/>
          <w:lang w:val="en-US" w:eastAsia="zh-CN"/>
        </w:rPr>
        <w:t>2.</w:t>
      </w:r>
      <w:r>
        <w:rPr>
          <w:rFonts w:hint="eastAsia" w:ascii="仿宋" w:hAnsi="仿宋" w:eastAsia="仿宋" w:cs="仿宋"/>
          <w:b/>
          <w:bCs/>
          <w:sz w:val="32"/>
          <w:szCs w:val="32"/>
          <w:lang w:val="en-US" w:eastAsia="zh-CN"/>
        </w:rPr>
        <w:t>《征求意见稿》明确对信用评价对象的权益保护</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仿宋" w:hAnsi="仿宋" w:eastAsia="仿宋" w:cs="仿宋"/>
          <w:b w:val="0"/>
          <w:bCs w:val="0"/>
          <w:kern w:val="2"/>
          <w:sz w:val="32"/>
          <w:szCs w:val="32"/>
          <w:lang w:val="en-US" w:eastAsia="zh-CN" w:bidi="ar-SA"/>
        </w:rPr>
      </w:pPr>
      <w:r>
        <w:rPr>
          <w:rFonts w:hint="eastAsia" w:ascii="仿宋" w:hAnsi="仿宋" w:eastAsia="仿宋" w:cs="仿宋"/>
          <w:color w:val="auto"/>
          <w:sz w:val="32"/>
          <w:szCs w:val="32"/>
          <w:lang w:val="en-US" w:eastAsia="zh-CN"/>
        </w:rPr>
        <w:t>《征求意见稿》增补了信用评价对象权益保护相关规定，明确信用评价对象</w:t>
      </w:r>
      <w:r>
        <w:rPr>
          <w:rFonts w:hint="eastAsia" w:ascii="仿宋" w:hAnsi="仿宋" w:eastAsia="仿宋" w:cs="仿宋"/>
          <w:b w:val="0"/>
          <w:bCs w:val="0"/>
          <w:kern w:val="2"/>
          <w:sz w:val="32"/>
          <w:szCs w:val="32"/>
          <w:lang w:val="en-US" w:eastAsia="zh-CN" w:bidi="ar-SA"/>
        </w:rPr>
        <w:t>有权向信用评价机构获取信用评价结果，获取信用评价所依据的信用信息内容、来源、变动情况。并且，</w:t>
      </w:r>
      <w:r>
        <w:rPr>
          <w:rFonts w:hint="eastAsia" w:ascii="仿宋" w:hAnsi="仿宋" w:eastAsia="仿宋" w:cs="仿宋"/>
          <w:color w:val="auto"/>
          <w:sz w:val="32"/>
          <w:szCs w:val="32"/>
          <w:lang w:val="en-US" w:eastAsia="zh-CN"/>
        </w:rPr>
        <w:t>信用评价对象</w:t>
      </w:r>
      <w:r>
        <w:rPr>
          <w:rFonts w:hint="eastAsia" w:ascii="仿宋" w:hAnsi="仿宋" w:eastAsia="仿宋" w:cs="仿宋"/>
          <w:b w:val="0"/>
          <w:bCs w:val="0"/>
          <w:kern w:val="2"/>
          <w:sz w:val="32"/>
          <w:szCs w:val="32"/>
          <w:lang w:val="en-US" w:eastAsia="zh-CN" w:bidi="ar-SA"/>
        </w:rPr>
        <w:t>有权向信用评价机构提出异议，要求更正相关信用信息，充分保障</w:t>
      </w:r>
      <w:r>
        <w:rPr>
          <w:rFonts w:hint="eastAsia" w:ascii="仿宋" w:hAnsi="仿宋" w:eastAsia="仿宋" w:cs="仿宋"/>
          <w:color w:val="auto"/>
          <w:sz w:val="32"/>
          <w:szCs w:val="32"/>
          <w:lang w:val="en-US" w:eastAsia="zh-CN"/>
        </w:rPr>
        <w:t>信用评价对象</w:t>
      </w:r>
      <w:r>
        <w:rPr>
          <w:rFonts w:hint="eastAsia" w:ascii="仿宋" w:hAnsi="仿宋" w:eastAsia="仿宋" w:cs="仿宋"/>
          <w:b w:val="0"/>
          <w:bCs w:val="0"/>
          <w:kern w:val="2"/>
          <w:sz w:val="32"/>
          <w:szCs w:val="32"/>
          <w:lang w:val="en-US" w:eastAsia="zh-CN" w:bidi="ar-SA"/>
        </w:rPr>
        <w:t>信息知情权、异议权。</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3.《征求意见稿》补充了信用评价结果的应用范围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i w:val="0"/>
          <w:iCs w:val="0"/>
          <w:caps w:val="0"/>
          <w:color w:val="040404"/>
          <w:spacing w:val="0"/>
          <w:sz w:val="32"/>
          <w:szCs w:val="32"/>
          <w:highlight w:val="none"/>
          <w:u w:val="none"/>
          <w:shd w:val="clear" w:fill="FFFFFF"/>
          <w:lang w:eastAsia="zh-CN"/>
        </w:rPr>
      </w:pPr>
      <w:r>
        <w:rPr>
          <w:rFonts w:hint="eastAsia" w:ascii="仿宋" w:hAnsi="仿宋" w:eastAsia="仿宋" w:cs="仿宋"/>
          <w:color w:val="auto"/>
          <w:sz w:val="32"/>
          <w:szCs w:val="32"/>
          <w:lang w:val="en-US" w:eastAsia="zh-CN"/>
        </w:rPr>
        <w:t>《征求意见稿》增补</w:t>
      </w:r>
      <w:r>
        <w:rPr>
          <w:rFonts w:hint="eastAsia" w:ascii="仿宋" w:hAnsi="仿宋" w:eastAsia="仿宋" w:cs="仿宋"/>
          <w:sz w:val="32"/>
          <w:szCs w:val="32"/>
          <w:lang w:val="en-US" w:eastAsia="zh-CN"/>
        </w:rPr>
        <w:t>了信用评价结果的应用范围，</w:t>
      </w:r>
      <w:r>
        <w:rPr>
          <w:rFonts w:hint="eastAsia" w:ascii="仿宋" w:hAnsi="仿宋" w:eastAsia="仿宋" w:cs="仿宋"/>
          <w:i w:val="0"/>
          <w:iCs w:val="0"/>
          <w:caps w:val="0"/>
          <w:color w:val="040404"/>
          <w:spacing w:val="0"/>
          <w:sz w:val="32"/>
          <w:szCs w:val="32"/>
          <w:highlight w:val="none"/>
          <w:shd w:val="clear" w:fill="FFFFFF"/>
        </w:rPr>
        <w:t>市市场监管部门参考信用评价</w:t>
      </w:r>
      <w:r>
        <w:rPr>
          <w:rFonts w:hint="eastAsia" w:ascii="仿宋" w:hAnsi="仿宋" w:eastAsia="仿宋" w:cs="仿宋"/>
          <w:i w:val="0"/>
          <w:iCs w:val="0"/>
          <w:caps w:val="0"/>
          <w:color w:val="040404"/>
          <w:spacing w:val="0"/>
          <w:sz w:val="32"/>
          <w:szCs w:val="32"/>
          <w:highlight w:val="none"/>
          <w:shd w:val="clear" w:fill="FFFFFF"/>
          <w:lang w:val="en-US" w:eastAsia="zh-CN"/>
        </w:rPr>
        <w:t>结果，</w:t>
      </w:r>
      <w:r>
        <w:rPr>
          <w:rFonts w:hint="eastAsia" w:ascii="仿宋" w:hAnsi="仿宋" w:eastAsia="仿宋" w:cs="仿宋"/>
          <w:i w:val="0"/>
          <w:iCs w:val="0"/>
          <w:caps w:val="0"/>
          <w:color w:val="040404"/>
          <w:spacing w:val="0"/>
          <w:sz w:val="32"/>
          <w:szCs w:val="32"/>
          <w:highlight w:val="none"/>
          <w:shd w:val="clear" w:fill="FFFFFF"/>
        </w:rPr>
        <w:t>对于电子商务经营者相关失信行为</w:t>
      </w:r>
      <w:r>
        <w:rPr>
          <w:rFonts w:hint="eastAsia" w:ascii="仿宋" w:hAnsi="仿宋" w:eastAsia="仿宋" w:cs="仿宋"/>
          <w:i w:val="0"/>
          <w:iCs w:val="0"/>
          <w:caps w:val="0"/>
          <w:color w:val="040404"/>
          <w:spacing w:val="0"/>
          <w:sz w:val="32"/>
          <w:szCs w:val="32"/>
          <w:highlight w:val="none"/>
          <w:shd w:val="clear" w:fill="FFFFFF"/>
          <w:lang w:eastAsia="zh-CN"/>
        </w:rPr>
        <w:t>，</w:t>
      </w:r>
      <w:r>
        <w:rPr>
          <w:rFonts w:hint="eastAsia" w:ascii="仿宋" w:hAnsi="仿宋" w:eastAsia="仿宋" w:cs="仿宋"/>
          <w:i w:val="0"/>
          <w:iCs w:val="0"/>
          <w:caps w:val="0"/>
          <w:color w:val="040404"/>
          <w:spacing w:val="0"/>
          <w:sz w:val="32"/>
          <w:szCs w:val="32"/>
          <w:highlight w:val="none"/>
          <w:shd w:val="clear" w:fill="FFFFFF"/>
        </w:rPr>
        <w:t>可以通过市场监管部门官方网站、网络搜索引擎、经营者从事经营活动的主页面显著位置等途径公示</w:t>
      </w:r>
      <w:r>
        <w:rPr>
          <w:rFonts w:hint="eastAsia" w:ascii="仿宋" w:hAnsi="仿宋" w:eastAsia="仿宋" w:cs="仿宋"/>
          <w:i w:val="0"/>
          <w:iCs w:val="0"/>
          <w:caps w:val="0"/>
          <w:color w:val="040404"/>
          <w:spacing w:val="0"/>
          <w:sz w:val="32"/>
          <w:szCs w:val="32"/>
          <w:highlight w:val="none"/>
          <w:shd w:val="clear" w:fill="FFFFFF"/>
          <w:lang w:eastAsia="zh-CN"/>
        </w:rPr>
        <w:t>，</w:t>
      </w:r>
      <w:bookmarkStart w:id="0" w:name="_GoBack"/>
      <w:bookmarkEnd w:id="0"/>
      <w:r>
        <w:rPr>
          <w:rFonts w:hint="eastAsia" w:ascii="仿宋" w:hAnsi="仿宋" w:eastAsia="仿宋" w:cs="仿宋"/>
          <w:i w:val="0"/>
          <w:iCs w:val="0"/>
          <w:caps w:val="0"/>
          <w:color w:val="040404"/>
          <w:spacing w:val="0"/>
          <w:sz w:val="32"/>
          <w:szCs w:val="32"/>
          <w:highlight w:val="none"/>
          <w:u w:val="none"/>
          <w:shd w:val="clear" w:fill="FFFFFF"/>
          <w:lang w:eastAsia="zh-CN"/>
        </w:rPr>
        <w:t>推进建立基于信用的分级分类监管机制。</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r>
        <w:rPr>
          <w:rFonts w:hint="eastAsia" w:ascii="仿宋" w:hAnsi="仿宋" w:eastAsia="仿宋" w:cs="仿宋"/>
          <w:i w:val="0"/>
          <w:iCs w:val="0"/>
          <w:caps w:val="0"/>
          <w:color w:val="040404"/>
          <w:spacing w:val="0"/>
          <w:sz w:val="32"/>
          <w:szCs w:val="32"/>
          <w:highlight w:val="none"/>
          <w:shd w:val="clear" w:fill="FFFFFF"/>
          <w:lang w:val="en-US" w:eastAsia="zh-CN"/>
        </w:rPr>
        <w:t xml:space="preserve">    </w:t>
      </w:r>
      <w:r>
        <w:rPr>
          <w:rFonts w:hint="eastAsia" w:ascii="仿宋" w:hAnsi="仿宋" w:eastAsia="仿宋"/>
          <w:sz w:val="32"/>
          <w:szCs w:val="32"/>
          <w:lang w:val="en-US" w:eastAsia="zh-CN"/>
        </w:rPr>
        <w:t>特此说明。</w:t>
      </w:r>
    </w:p>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华文中宋">
    <w:altName w:val="汉仪中宋简"/>
    <w:panose1 w:val="02010600040101010101"/>
    <w:charset w:val="86"/>
    <w:family w:val="auto"/>
    <w:pitch w:val="default"/>
    <w:sig w:usb0="00000000" w:usb1="00000000" w:usb2="00000000" w:usb3="00000000" w:csb0="0004009F" w:csb1="DFD70000"/>
  </w:font>
  <w:font w:name="仿宋">
    <w:altName w:val="方正仿宋_GBK"/>
    <w:panose1 w:val="02010609060101010101"/>
    <w:charset w:val="86"/>
    <w:family w:val="auto"/>
    <w:pitch w:val="default"/>
    <w:sig w:usb0="00000000" w:usb1="00000000" w:usb2="00000016" w:usb3="00000000" w:csb0="00040001" w:csb1="00000000"/>
  </w:font>
  <w:font w:name="楷体">
    <w:altName w:val="方正楷体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汉仪中宋简">
    <w:panose1 w:val="02010600000101010101"/>
    <w:charset w:val="86"/>
    <w:family w:val="auto"/>
    <w:pitch w:val="default"/>
    <w:sig w:usb0="00000001" w:usb1="080E0800" w:usb2="00000002" w:usb3="00000000" w:csb0="00040000" w:csb1="0000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Standard Symbols PS">
    <w:panose1 w:val="05050102010706020507"/>
    <w:charset w:val="00"/>
    <w:family w:val="auto"/>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2NTI1ZGYyZDhmZTgzNjUyODhlYTcyODUyMjg5YTUifQ=="/>
  </w:docVars>
  <w:rsids>
    <w:rsidRoot w:val="36020989"/>
    <w:rsid w:val="0341645D"/>
    <w:rsid w:val="05C5202C"/>
    <w:rsid w:val="079C3C62"/>
    <w:rsid w:val="08055CAB"/>
    <w:rsid w:val="08597DA5"/>
    <w:rsid w:val="08CB0CA3"/>
    <w:rsid w:val="0AA7304A"/>
    <w:rsid w:val="0B882E7B"/>
    <w:rsid w:val="0C4D5E73"/>
    <w:rsid w:val="0C50326D"/>
    <w:rsid w:val="0E2826F4"/>
    <w:rsid w:val="0F9F2542"/>
    <w:rsid w:val="0FED7751"/>
    <w:rsid w:val="11EE155E"/>
    <w:rsid w:val="134639A2"/>
    <w:rsid w:val="14910D43"/>
    <w:rsid w:val="160752E5"/>
    <w:rsid w:val="165322D8"/>
    <w:rsid w:val="1A5A18E8"/>
    <w:rsid w:val="1C1F5136"/>
    <w:rsid w:val="1E5B441F"/>
    <w:rsid w:val="1EF53F2C"/>
    <w:rsid w:val="1FEC111A"/>
    <w:rsid w:val="20E64474"/>
    <w:rsid w:val="22010E3A"/>
    <w:rsid w:val="23F54BDA"/>
    <w:rsid w:val="277B343D"/>
    <w:rsid w:val="27982240"/>
    <w:rsid w:val="28E60D8A"/>
    <w:rsid w:val="2B0F6376"/>
    <w:rsid w:val="2B960845"/>
    <w:rsid w:val="2D216DB3"/>
    <w:rsid w:val="2DF53F49"/>
    <w:rsid w:val="2EB77450"/>
    <w:rsid w:val="2F4B7B98"/>
    <w:rsid w:val="32EC51EE"/>
    <w:rsid w:val="36020989"/>
    <w:rsid w:val="37060F75"/>
    <w:rsid w:val="37D83F93"/>
    <w:rsid w:val="38E726E0"/>
    <w:rsid w:val="3ADE7B13"/>
    <w:rsid w:val="3C0572CE"/>
    <w:rsid w:val="3D2C1009"/>
    <w:rsid w:val="3D6672AC"/>
    <w:rsid w:val="3D89645B"/>
    <w:rsid w:val="3DCA4AF6"/>
    <w:rsid w:val="3EAB2402"/>
    <w:rsid w:val="3ECD05CA"/>
    <w:rsid w:val="3F87567D"/>
    <w:rsid w:val="41B13E8F"/>
    <w:rsid w:val="44D02BC2"/>
    <w:rsid w:val="4528655A"/>
    <w:rsid w:val="47857C94"/>
    <w:rsid w:val="47C67684"/>
    <w:rsid w:val="4F7D74A2"/>
    <w:rsid w:val="4FB355BA"/>
    <w:rsid w:val="50947199"/>
    <w:rsid w:val="50F419E6"/>
    <w:rsid w:val="530F48B5"/>
    <w:rsid w:val="53B92A73"/>
    <w:rsid w:val="543842E0"/>
    <w:rsid w:val="54C07EA1"/>
    <w:rsid w:val="587C29ED"/>
    <w:rsid w:val="589A10C5"/>
    <w:rsid w:val="5A77BCBF"/>
    <w:rsid w:val="5BA718D7"/>
    <w:rsid w:val="5DF71EF4"/>
    <w:rsid w:val="5E8545C5"/>
    <w:rsid w:val="5EE96902"/>
    <w:rsid w:val="5EFF1C82"/>
    <w:rsid w:val="61047A23"/>
    <w:rsid w:val="61C176C2"/>
    <w:rsid w:val="624520A2"/>
    <w:rsid w:val="63827325"/>
    <w:rsid w:val="654F4FE5"/>
    <w:rsid w:val="67DF08A2"/>
    <w:rsid w:val="68EF2D67"/>
    <w:rsid w:val="693469CC"/>
    <w:rsid w:val="69571988"/>
    <w:rsid w:val="6B2111D2"/>
    <w:rsid w:val="6B8C6F93"/>
    <w:rsid w:val="6C757A27"/>
    <w:rsid w:val="6C7C7008"/>
    <w:rsid w:val="723E37DC"/>
    <w:rsid w:val="72C76B03"/>
    <w:rsid w:val="73E831D5"/>
    <w:rsid w:val="756D3991"/>
    <w:rsid w:val="76D96E05"/>
    <w:rsid w:val="76E45ED5"/>
    <w:rsid w:val="788E22F0"/>
    <w:rsid w:val="7B4231CA"/>
    <w:rsid w:val="7DD32800"/>
    <w:rsid w:val="7F800765"/>
    <w:rsid w:val="ABB5969D"/>
    <w:rsid w:val="CE0FA5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3"/>
    <w:basedOn w:val="1"/>
    <w:next w:val="1"/>
    <w:qFormat/>
    <w:uiPriority w:val="9"/>
    <w:pPr>
      <w:keepNext/>
      <w:keepLines/>
      <w:autoSpaceDE w:val="0"/>
      <w:autoSpaceDN w:val="0"/>
      <w:spacing w:before="260" w:after="260" w:line="416" w:lineRule="auto"/>
      <w:jc w:val="left"/>
      <w:outlineLvl w:val="2"/>
    </w:pPr>
    <w:rPr>
      <w:rFonts w:ascii="宋体" w:hAnsi="宋体" w:eastAsia="宋体" w:cs="宋体"/>
      <w:b/>
      <w:bCs/>
      <w:sz w:val="32"/>
      <w:szCs w:val="32"/>
      <w:lang w:eastAsia="en-US"/>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4">
    <w:name w:val="annotation text"/>
    <w:basedOn w:val="1"/>
    <w:qFormat/>
    <w:uiPriority w:val="0"/>
    <w:pPr>
      <w:jc w:val="left"/>
    </w:p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1481</Words>
  <Characters>1495</Characters>
  <Lines>0</Lines>
  <Paragraphs>0</Paragraphs>
  <TotalTime>1</TotalTime>
  <ScaleCrop>false</ScaleCrop>
  <LinksUpToDate>false</LinksUpToDate>
  <CharactersWithSpaces>1497</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2022-10-01T02:07:00Z</dcterms:created>
  <dc:creator>易宥光</dc:creator>
  <cp:lastModifiedBy>zhaoqin</cp:lastModifiedBy>
  <dcterms:modified xsi:type="dcterms:W3CDTF">2022-10-19T16:49:36Z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027EC966DAA24AA28E6C36676A63A546</vt:lpwstr>
  </property>
</Properties>
</file>