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tLeast"/>
        <w:rPr>
          <w:rFonts w:hint="eastAsia"/>
        </w:rPr>
      </w:pPr>
      <w:bookmarkStart w:id="2" w:name="_GoBack"/>
      <w:bookmarkEnd w:id="2"/>
    </w:p>
    <w:p>
      <w:pPr>
        <w:snapToGrid w:val="0"/>
        <w:spacing w:line="240" w:lineRule="atLeast"/>
        <w:rPr>
          <w:rFonts w:hint="eastAsia"/>
        </w:rPr>
      </w:pPr>
    </w:p>
    <w:p>
      <w:pPr>
        <w:snapToGrid w:val="0"/>
        <w:spacing w:line="240" w:lineRule="atLeast"/>
        <w:rPr>
          <w:rFonts w:hint="eastAsia"/>
        </w:rPr>
      </w:pPr>
    </w:p>
    <w:p>
      <w:pPr>
        <w:snapToGrid w:val="0"/>
        <w:spacing w:line="240" w:lineRule="atLeast"/>
        <w:rPr>
          <w:rFonts w:hint="eastAsia"/>
        </w:rPr>
      </w:pPr>
    </w:p>
    <w:p>
      <w:pPr>
        <w:snapToGrid w:val="0"/>
        <w:spacing w:line="240" w:lineRule="atLeast"/>
        <w:rPr>
          <w:rFonts w:hint="eastAsia"/>
        </w:rPr>
      </w:pPr>
    </w:p>
    <w:p>
      <w:pPr>
        <w:snapToGrid w:val="0"/>
        <w:spacing w:line="240" w:lineRule="atLeast"/>
        <w:rPr>
          <w:rFonts w:hint="eastAsia"/>
        </w:rPr>
      </w:pPr>
    </w:p>
    <w:p>
      <w:pPr>
        <w:snapToGrid w:val="0"/>
        <w:spacing w:line="240" w:lineRule="atLeast"/>
        <w:rPr>
          <w:rFonts w:hint="eastAsia"/>
        </w:rPr>
      </w:pPr>
    </w:p>
    <w:p>
      <w:pPr>
        <w:snapToGrid w:val="0"/>
        <w:spacing w:line="240" w:lineRule="atLeast"/>
        <w:rPr>
          <w:rFonts w:hint="eastAsia"/>
        </w:rPr>
      </w:pPr>
    </w:p>
    <w:p>
      <w:pPr>
        <w:snapToGrid w:val="0"/>
        <w:spacing w:line="240" w:lineRule="atLeast"/>
        <w:rPr>
          <w:rFonts w:hint="eastAsia"/>
        </w:rPr>
      </w:pPr>
    </w:p>
    <w:p>
      <w:pPr>
        <w:snapToGrid w:val="0"/>
        <w:spacing w:line="240" w:lineRule="atLeast"/>
        <w:rPr>
          <w:rFonts w:hint="eastAsia"/>
        </w:rPr>
      </w:pPr>
    </w:p>
    <w:p>
      <w:pPr>
        <w:jc w:val="center"/>
        <w:rPr>
          <w:rFonts w:ascii="仿宋_GB2312" w:eastAsia="仿宋_GB2312"/>
          <w:sz w:val="32"/>
          <w:szCs w:val="32"/>
          <w:lang w:val="en"/>
        </w:rPr>
      </w:pPr>
      <w:bookmarkStart w:id="0" w:name="word_number_fieldΩ1"/>
      <w:r>
        <w:rPr>
          <w:rFonts w:ascii="仿宋_GB2312" w:eastAsia="仿宋_GB2312"/>
          <w:sz w:val="32"/>
          <w:szCs w:val="32"/>
          <w:lang w:val="en"/>
        </w:rPr>
        <w:t>深市监规〔2022〕6号</w:t>
      </w:r>
      <w:bookmarkEnd w:id="0"/>
    </w:p>
    <w:p>
      <w:pPr>
        <w:jc w:val="center"/>
        <w:rPr>
          <w:rFonts w:hint="eastAsia" w:ascii="仿宋_GB2312" w:eastAsia="仿宋_GB2312"/>
        </w:rPr>
      </w:pPr>
    </w:p>
    <w:p>
      <w:pPr>
        <w:snapToGrid w:val="0"/>
        <w:spacing w:line="240" w:lineRule="atLeast"/>
        <w:rPr>
          <w:rFonts w:hint="eastAsia"/>
        </w:rPr>
      </w:pPr>
    </w:p>
    <w:p>
      <w:pPr>
        <w:rPr>
          <w:rFonts w:hint="eastAsia"/>
        </w:rPr>
      </w:pPr>
    </w:p>
    <w:p>
      <w:pPr>
        <w:pStyle w:val="11"/>
        <w:spacing w:line="560" w:lineRule="exact"/>
        <w:jc w:val="center"/>
        <w:rPr>
          <w:rFonts w:hint="eastAsia" w:ascii="方正小标宋_GBK" w:hAnsi="宋体" w:eastAsia="方正小标宋_GBK" w:cs="宋体"/>
          <w:color w:val="auto"/>
          <w:sz w:val="44"/>
          <w:szCs w:val="44"/>
        </w:rPr>
      </w:pPr>
      <w:r>
        <w:rPr>
          <w:rFonts w:hint="eastAsia" w:ascii="方正小标宋_GBK" w:hAnsi="宋体" w:eastAsia="方正小标宋_GBK" w:cs="宋体"/>
          <w:color w:val="auto"/>
          <w:sz w:val="44"/>
          <w:szCs w:val="44"/>
        </w:rPr>
        <w:t>深圳市市场监督管理局印发《深圳市市场</w:t>
      </w:r>
    </w:p>
    <w:p>
      <w:pPr>
        <w:pStyle w:val="11"/>
        <w:spacing w:line="560" w:lineRule="exact"/>
        <w:jc w:val="center"/>
        <w:rPr>
          <w:rFonts w:hint="eastAsia" w:ascii="方正小标宋_GBK" w:hAnsi="宋体" w:eastAsia="方正小标宋_GBK" w:cs="宋体"/>
          <w:color w:val="auto"/>
          <w:sz w:val="44"/>
          <w:szCs w:val="44"/>
        </w:rPr>
      </w:pPr>
      <w:r>
        <w:rPr>
          <w:rFonts w:hint="eastAsia" w:ascii="方正小标宋_GBK" w:hAnsi="宋体" w:eastAsia="方正小标宋_GBK" w:cs="宋体"/>
          <w:color w:val="auto"/>
          <w:sz w:val="44"/>
          <w:szCs w:val="44"/>
        </w:rPr>
        <w:t>监督管理局关于市科学技术奖专利奖</w:t>
      </w:r>
    </w:p>
    <w:p>
      <w:pPr>
        <w:pStyle w:val="11"/>
        <w:spacing w:line="560" w:lineRule="exact"/>
        <w:jc w:val="center"/>
        <w:rPr>
          <w:rFonts w:ascii="方正小标宋_GBK" w:hAnsi="宋体" w:eastAsia="方正小标宋_GBK" w:cs="宋体"/>
          <w:color w:val="auto"/>
          <w:sz w:val="44"/>
          <w:szCs w:val="44"/>
        </w:rPr>
      </w:pPr>
      <w:r>
        <w:rPr>
          <w:rFonts w:hint="eastAsia" w:ascii="方正小标宋_GBK" w:hAnsi="宋体" w:eastAsia="方正小标宋_GBK" w:cs="宋体"/>
          <w:color w:val="auto"/>
          <w:sz w:val="44"/>
          <w:szCs w:val="44"/>
        </w:rPr>
        <w:t>的实施细则》的</w:t>
      </w:r>
      <w:r>
        <w:rPr>
          <w:rFonts w:ascii="方正小标宋_GBK" w:hAnsi="宋体" w:eastAsia="方正小标宋_GBK" w:cs="宋体"/>
          <w:color w:val="auto"/>
          <w:sz w:val="44"/>
          <w:szCs w:val="44"/>
        </w:rPr>
        <w:t>通知</w:t>
      </w:r>
    </w:p>
    <w:p>
      <w:pPr>
        <w:spacing w:line="300" w:lineRule="exact"/>
      </w:pPr>
    </w:p>
    <w:p>
      <w:pPr>
        <w:spacing w:line="540" w:lineRule="exact"/>
        <w:rPr>
          <w:rFonts w:ascii="仿宋_GB2312" w:eastAsia="仿宋_GB2312"/>
          <w:sz w:val="32"/>
          <w:szCs w:val="32"/>
        </w:rPr>
      </w:pPr>
      <w:r>
        <w:rPr>
          <w:rFonts w:hint="eastAsia" w:ascii="仿宋_GB2312" w:eastAsia="仿宋_GB2312"/>
          <w:sz w:val="32"/>
          <w:szCs w:val="32"/>
        </w:rPr>
        <w:t>各有关单位：</w:t>
      </w:r>
    </w:p>
    <w:p>
      <w:pPr>
        <w:spacing w:line="540" w:lineRule="exact"/>
        <w:ind w:firstLine="640" w:firstLineChars="200"/>
        <w:rPr>
          <w:rFonts w:ascii="仿宋_GB2312" w:eastAsia="仿宋_GB2312"/>
          <w:bCs/>
          <w:sz w:val="32"/>
          <w:szCs w:val="32"/>
        </w:rPr>
      </w:pPr>
      <w:r>
        <w:rPr>
          <w:rFonts w:hint="eastAsia" w:ascii="仿宋_GB2312" w:eastAsia="仿宋_GB2312"/>
          <w:sz w:val="32"/>
          <w:szCs w:val="32"/>
        </w:rPr>
        <w:t>为深入实施知识产权强市战略，强化知识产权创造、保护、运用，</w:t>
      </w:r>
      <w:r>
        <w:rPr>
          <w:rFonts w:hint="eastAsia" w:ascii="仿宋_GB2312" w:eastAsia="仿宋_GB2312"/>
          <w:bCs/>
          <w:sz w:val="32"/>
          <w:szCs w:val="32"/>
        </w:rPr>
        <w:t>规范市科学技术奖专利奖评审程序，根据</w:t>
      </w:r>
      <w:r>
        <w:rPr>
          <w:rFonts w:hint="eastAsia" w:ascii="仿宋_GB2312" w:hAnsi="Calibri" w:eastAsia="仿宋_GB2312"/>
          <w:bCs/>
          <w:sz w:val="32"/>
          <w:szCs w:val="32"/>
        </w:rPr>
        <w:t>《深圳市科学技术奖励办法》(深府规</w:t>
      </w:r>
      <w:r>
        <w:rPr>
          <w:rFonts w:hint="eastAsia" w:ascii="华文仿宋" w:hAnsi="华文仿宋" w:eastAsia="华文仿宋" w:cs="华文仿宋"/>
          <w:bCs/>
          <w:sz w:val="32"/>
          <w:szCs w:val="32"/>
        </w:rPr>
        <w:t>〔</w:t>
      </w:r>
      <w:r>
        <w:rPr>
          <w:rFonts w:hint="eastAsia" w:ascii="仿宋_GB2312" w:hAnsi="Calibri" w:eastAsia="仿宋_GB2312"/>
          <w:bCs/>
          <w:sz w:val="32"/>
          <w:szCs w:val="32"/>
        </w:rPr>
        <w:t>2022</w:t>
      </w:r>
      <w:r>
        <w:rPr>
          <w:rFonts w:hint="eastAsia" w:ascii="华文仿宋" w:hAnsi="华文仿宋" w:eastAsia="华文仿宋" w:cs="华文仿宋"/>
          <w:bCs/>
          <w:sz w:val="32"/>
          <w:szCs w:val="32"/>
        </w:rPr>
        <w:t>〕</w:t>
      </w:r>
      <w:r>
        <w:rPr>
          <w:rFonts w:hint="eastAsia" w:ascii="仿宋_GB2312" w:hAnsi="Calibri" w:eastAsia="仿宋_GB2312"/>
          <w:bCs/>
          <w:sz w:val="32"/>
          <w:szCs w:val="32"/>
        </w:rPr>
        <w:t>3 号)</w:t>
      </w:r>
      <w:r>
        <w:rPr>
          <w:rFonts w:hint="eastAsia" w:ascii="仿宋_GB2312" w:eastAsia="仿宋_GB2312"/>
          <w:bCs/>
          <w:sz w:val="32"/>
          <w:szCs w:val="32"/>
        </w:rPr>
        <w:t>和</w:t>
      </w:r>
      <w:r>
        <w:rPr>
          <w:rFonts w:hint="eastAsia" w:ascii="仿宋_GB2312" w:hAnsi="Calibri" w:eastAsia="仿宋_GB2312"/>
          <w:bCs/>
          <w:sz w:val="32"/>
          <w:szCs w:val="32"/>
        </w:rPr>
        <w:t>《深圳市行政机关规范性文件管理规定》（市政府令第305号）</w:t>
      </w:r>
      <w:r>
        <w:rPr>
          <w:rFonts w:hint="eastAsia" w:ascii="仿宋_GB2312" w:eastAsia="仿宋_GB2312"/>
          <w:bCs/>
          <w:sz w:val="32"/>
          <w:szCs w:val="32"/>
        </w:rPr>
        <w:t>的文件要求，我局制定了《深圳市市场监督管理局关于市科学技术奖专利奖的实施细则》，并已经市司法局审查通过，现予以印发，请遵照执行。</w:t>
      </w:r>
    </w:p>
    <w:p>
      <w:pPr>
        <w:spacing w:line="560" w:lineRule="exact"/>
        <w:ind w:firstLine="420"/>
        <w:rPr>
          <w:rFonts w:ascii="仿宋_GB2312" w:eastAsia="仿宋_GB2312"/>
          <w:bCs/>
          <w:sz w:val="32"/>
          <w:szCs w:val="32"/>
        </w:rPr>
      </w:pPr>
    </w:p>
    <w:p>
      <w:pPr>
        <w:spacing w:line="560" w:lineRule="exact"/>
        <w:ind w:firstLine="420"/>
        <w:rPr>
          <w:rFonts w:ascii="仿宋_GB2312" w:eastAsia="仿宋_GB2312"/>
          <w:bCs/>
          <w:sz w:val="32"/>
          <w:szCs w:val="32"/>
        </w:rPr>
      </w:pPr>
    </w:p>
    <w:p>
      <w:pPr>
        <w:wordWrap w:val="0"/>
        <w:spacing w:line="500" w:lineRule="exact"/>
        <w:ind w:firstLine="420"/>
        <w:jc w:val="right"/>
        <w:rPr>
          <w:rFonts w:ascii="仿宋_GB2312" w:eastAsia="仿宋_GB2312"/>
          <w:bCs/>
          <w:sz w:val="32"/>
          <w:szCs w:val="32"/>
        </w:rPr>
      </w:pPr>
      <w:r>
        <w:rPr>
          <w:rFonts w:hint="eastAsia" w:ascii="仿宋_GB2312" w:eastAsia="仿宋_GB2312"/>
          <w:bCs/>
          <w:sz w:val="32"/>
          <w:szCs w:val="32"/>
        </w:rPr>
        <w:t xml:space="preserve">深圳市市场监督管理局  </w:t>
      </w:r>
    </w:p>
    <w:p>
      <w:pPr>
        <w:wordWrap w:val="0"/>
        <w:spacing w:line="500" w:lineRule="exact"/>
        <w:ind w:firstLine="420"/>
        <w:jc w:val="right"/>
        <w:rPr>
          <w:rFonts w:hint="eastAsia" w:ascii="仿宋_GB2312" w:eastAsia="仿宋_GB2312"/>
          <w:bCs/>
          <w:sz w:val="32"/>
          <w:szCs w:val="32"/>
        </w:rPr>
      </w:pPr>
      <w:r>
        <w:rPr>
          <w:rFonts w:hint="eastAsia" w:ascii="仿宋_GB2312" w:eastAsia="仿宋_GB2312"/>
          <w:bCs/>
          <w:sz w:val="32"/>
          <w:szCs w:val="32"/>
        </w:rPr>
        <w:t>2022年10月</w:t>
      </w:r>
      <w:r>
        <w:rPr>
          <w:rFonts w:ascii="仿宋_GB2312" w:eastAsia="仿宋_GB2312"/>
          <w:bCs/>
          <w:sz w:val="32"/>
          <w:szCs w:val="32"/>
          <w:lang w:val="en"/>
        </w:rPr>
        <w:t>11</w:t>
      </w:r>
      <w:r>
        <w:rPr>
          <w:rFonts w:hint="eastAsia" w:ascii="仿宋_GB2312" w:eastAsia="仿宋_GB2312"/>
          <w:bCs/>
          <w:sz w:val="32"/>
          <w:szCs w:val="32"/>
        </w:rPr>
        <w:t xml:space="preserve">日 </w:t>
      </w:r>
    </w:p>
    <w:p>
      <w:pPr>
        <w:spacing w:line="500" w:lineRule="exact"/>
        <w:ind w:firstLine="420"/>
        <w:jc w:val="right"/>
        <w:rPr>
          <w:rFonts w:hint="eastAsia" w:ascii="仿宋_GB2312" w:eastAsia="仿宋_GB2312"/>
          <w:bCs/>
          <w:sz w:val="32"/>
          <w:szCs w:val="32"/>
        </w:rPr>
      </w:pPr>
    </w:p>
    <w:p>
      <w:pPr>
        <w:spacing w:line="500" w:lineRule="exact"/>
        <w:ind w:firstLine="420"/>
        <w:jc w:val="right"/>
        <w:rPr>
          <w:rFonts w:hint="eastAsia" w:ascii="仿宋_GB2312" w:eastAsia="仿宋_GB2312"/>
          <w:bCs/>
          <w:sz w:val="32"/>
          <w:szCs w:val="32"/>
        </w:rPr>
      </w:pPr>
    </w:p>
    <w:p>
      <w:pPr>
        <w:spacing w:line="500" w:lineRule="exact"/>
        <w:ind w:firstLine="420"/>
        <w:jc w:val="right"/>
        <w:rPr>
          <w:rFonts w:ascii="仿宋_GB2312" w:eastAsia="仿宋_GB2312"/>
          <w:bCs/>
          <w:sz w:val="32"/>
          <w:szCs w:val="32"/>
        </w:rPr>
      </w:pPr>
      <w:r>
        <w:rPr>
          <w:rFonts w:hint="eastAsia" w:ascii="仿宋_GB2312" w:eastAsia="仿宋_GB2312"/>
          <w:bCs/>
          <w:sz w:val="32"/>
          <w:szCs w:val="32"/>
        </w:rPr>
        <w:t xml:space="preserve">  </w:t>
      </w:r>
    </w:p>
    <w:p>
      <w:pPr>
        <w:pStyle w:val="11"/>
        <w:spacing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深圳市市场监督管理局关于</w:t>
      </w:r>
    </w:p>
    <w:p>
      <w:pPr>
        <w:pStyle w:val="11"/>
        <w:spacing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市科学技术奖专利奖的实施细则</w:t>
      </w:r>
    </w:p>
    <w:p>
      <w:pPr>
        <w:pStyle w:val="11"/>
        <w:spacing w:line="560" w:lineRule="exact"/>
        <w:jc w:val="center"/>
        <w:rPr>
          <w:rFonts w:ascii="仿宋_GB2312" w:hAnsi="仿宋" w:eastAsia="仿宋_GB2312" w:cs="仿宋"/>
          <w:color w:val="auto"/>
          <w:sz w:val="32"/>
          <w:szCs w:val="32"/>
        </w:rPr>
      </w:pPr>
    </w:p>
    <w:p>
      <w:pPr>
        <w:pStyle w:val="11"/>
        <w:spacing w:after="156" w:afterLines="50" w:line="560" w:lineRule="exact"/>
        <w:jc w:val="center"/>
        <w:rPr>
          <w:rFonts w:ascii="黑体" w:hAnsi="黑体" w:eastAsia="黑体" w:cs="仿宋"/>
          <w:color w:val="auto"/>
          <w:sz w:val="32"/>
          <w:szCs w:val="32"/>
        </w:rPr>
      </w:pPr>
      <w:r>
        <w:rPr>
          <w:rFonts w:hint="eastAsia" w:ascii="黑体" w:hAnsi="黑体" w:eastAsia="黑体" w:cs="黑体"/>
          <w:color w:val="auto"/>
          <w:sz w:val="32"/>
          <w:szCs w:val="32"/>
        </w:rPr>
        <w:t>第一章 总 则</w:t>
      </w:r>
    </w:p>
    <w:p>
      <w:pPr>
        <w:pStyle w:val="11"/>
        <w:spacing w:line="560" w:lineRule="exact"/>
        <w:ind w:firstLine="643" w:firstLineChars="200"/>
        <w:jc w:val="both"/>
        <w:rPr>
          <w:rFonts w:ascii="仿宋_GB2312" w:hAnsi="仿宋" w:eastAsia="仿宋_GB2312" w:cs="仿宋"/>
          <w:bCs/>
          <w:color w:val="auto"/>
          <w:sz w:val="32"/>
          <w:szCs w:val="32"/>
        </w:rPr>
      </w:pPr>
      <w:r>
        <w:rPr>
          <w:rFonts w:hint="eastAsia" w:ascii="仿宋_GB2312" w:hAnsi="黑体" w:eastAsia="仿宋_GB2312" w:cs="黑体"/>
          <w:b/>
          <w:color w:val="auto"/>
          <w:sz w:val="32"/>
          <w:szCs w:val="32"/>
        </w:rPr>
        <w:t>第一条</w:t>
      </w:r>
      <w:r>
        <w:rPr>
          <w:rFonts w:hint="eastAsia" w:ascii="仿宋_GB2312" w:hAnsi="黑体" w:eastAsia="仿宋_GB2312" w:cs="黑体"/>
          <w:color w:val="auto"/>
          <w:sz w:val="32"/>
          <w:szCs w:val="32"/>
        </w:rPr>
        <w:t xml:space="preserve"> </w:t>
      </w:r>
      <w:r>
        <w:rPr>
          <w:rFonts w:hint="eastAsia" w:ascii="仿宋_GB2312" w:hAnsi="仿宋" w:eastAsia="仿宋_GB2312" w:cs="仿宋"/>
          <w:bCs/>
          <w:color w:val="auto"/>
          <w:sz w:val="32"/>
          <w:szCs w:val="32"/>
        </w:rPr>
        <w:t>为规范深圳市科学技术奖专利奖（以下简称专利奖）评审工作程序，保障评审质量，根据《深圳市科学技术奖励办法》（深府规〔2022〕3号）（以下简称《奖励办法》），制定本实施细则。</w:t>
      </w:r>
    </w:p>
    <w:p>
      <w:pPr>
        <w:pStyle w:val="11"/>
        <w:spacing w:line="560" w:lineRule="exact"/>
        <w:ind w:firstLine="643" w:firstLineChars="200"/>
        <w:jc w:val="both"/>
        <w:rPr>
          <w:rFonts w:ascii="仿宋_GB2312" w:hAnsi="仿宋" w:eastAsia="仿宋_GB2312" w:cs="仿宋"/>
          <w:bCs/>
          <w:color w:val="auto"/>
          <w:sz w:val="32"/>
          <w:szCs w:val="32"/>
        </w:rPr>
      </w:pPr>
      <w:r>
        <w:rPr>
          <w:rFonts w:hint="eastAsia" w:ascii="仿宋_GB2312" w:hAnsi="黑体" w:eastAsia="仿宋_GB2312" w:cs="黑体"/>
          <w:b/>
          <w:color w:val="auto"/>
          <w:sz w:val="32"/>
          <w:szCs w:val="32"/>
        </w:rPr>
        <w:t>第二条</w:t>
      </w:r>
      <w:r>
        <w:rPr>
          <w:rFonts w:hint="eastAsia" w:ascii="仿宋_GB2312" w:hAnsi="黑体" w:eastAsia="仿宋_GB2312" w:cs="黑体"/>
          <w:color w:val="auto"/>
          <w:sz w:val="32"/>
          <w:szCs w:val="32"/>
        </w:rPr>
        <w:t xml:space="preserve"> </w:t>
      </w:r>
      <w:r>
        <w:rPr>
          <w:rFonts w:hint="eastAsia" w:ascii="仿宋_GB2312" w:hAnsi="仿宋" w:eastAsia="仿宋_GB2312" w:cs="仿宋"/>
          <w:bCs/>
          <w:color w:val="auto"/>
          <w:sz w:val="32"/>
          <w:szCs w:val="32"/>
        </w:rPr>
        <w:t>本实施细则适用于专利奖的提名、受理、评审、公示、授奖等活动。</w:t>
      </w:r>
    </w:p>
    <w:p>
      <w:pPr>
        <w:pStyle w:val="11"/>
        <w:spacing w:line="560" w:lineRule="exact"/>
        <w:ind w:firstLine="643" w:firstLineChars="200"/>
        <w:jc w:val="both"/>
        <w:rPr>
          <w:rFonts w:ascii="仿宋_GB2312" w:hAnsi="仿宋" w:eastAsia="仿宋_GB2312" w:cs="仿宋"/>
          <w:bCs/>
          <w:color w:val="auto"/>
          <w:sz w:val="32"/>
          <w:szCs w:val="32"/>
        </w:rPr>
      </w:pPr>
      <w:r>
        <w:rPr>
          <w:rFonts w:hint="eastAsia" w:ascii="仿宋_GB2312" w:hAnsi="黑体" w:eastAsia="仿宋_GB2312" w:cs="黑体"/>
          <w:b/>
          <w:color w:val="auto"/>
          <w:sz w:val="32"/>
          <w:szCs w:val="32"/>
        </w:rPr>
        <w:t>第三条</w:t>
      </w:r>
      <w:r>
        <w:rPr>
          <w:rFonts w:hint="eastAsia" w:ascii="仿宋_GB2312" w:hAnsi="仿宋" w:eastAsia="仿宋_GB2312" w:cs="仿宋"/>
          <w:bCs/>
          <w:color w:val="auto"/>
          <w:sz w:val="32"/>
          <w:szCs w:val="32"/>
        </w:rPr>
        <w:t xml:space="preserve"> 深圳市市场监督管理部门（以下简称市市场监管部门）负责深圳市专利奖的评选。</w:t>
      </w:r>
    </w:p>
    <w:p>
      <w:pPr>
        <w:pStyle w:val="11"/>
        <w:spacing w:line="560" w:lineRule="exact"/>
        <w:ind w:firstLine="643" w:firstLineChars="200"/>
        <w:jc w:val="both"/>
        <w:rPr>
          <w:rFonts w:ascii="仿宋_GB2312" w:hAnsi="仿宋" w:eastAsia="仿宋_GB2312" w:cs="仿宋"/>
          <w:bCs/>
          <w:color w:val="auto"/>
          <w:sz w:val="32"/>
          <w:szCs w:val="32"/>
        </w:rPr>
      </w:pPr>
      <w:r>
        <w:rPr>
          <w:rFonts w:hint="eastAsia" w:ascii="仿宋_GB2312" w:hAnsi="黑体" w:eastAsia="仿宋_GB2312" w:cs="黑体"/>
          <w:b/>
          <w:color w:val="auto"/>
          <w:sz w:val="32"/>
          <w:szCs w:val="32"/>
        </w:rPr>
        <w:t>第四条</w:t>
      </w:r>
      <w:r>
        <w:rPr>
          <w:rFonts w:hint="eastAsia" w:ascii="仿宋_GB2312" w:hAnsi="仿宋" w:eastAsia="仿宋_GB2312" w:cs="仿宋"/>
          <w:bCs/>
          <w:color w:val="auto"/>
          <w:sz w:val="32"/>
          <w:szCs w:val="32"/>
        </w:rPr>
        <w:t xml:space="preserve"> 专利奖每年评审一次，奖项不分等级，每年授奖总数不超过25项，获奖项目中发明专利项目不少于80%。</w:t>
      </w:r>
    </w:p>
    <w:p>
      <w:pPr>
        <w:pStyle w:val="13"/>
        <w:spacing w:line="560" w:lineRule="exact"/>
        <w:ind w:firstLine="643" w:firstLineChars="200"/>
        <w:rPr>
          <w:rFonts w:ascii="仿宋_GB2312" w:hAnsi="仿宋" w:eastAsia="仿宋_GB2312" w:cs="仿宋"/>
          <w:sz w:val="32"/>
          <w:szCs w:val="32"/>
        </w:rPr>
      </w:pPr>
      <w:r>
        <w:rPr>
          <w:rFonts w:hint="eastAsia" w:ascii="仿宋_GB2312" w:hAnsi="黑体" w:eastAsia="仿宋_GB2312" w:cs="黑体"/>
          <w:b/>
          <w:kern w:val="0"/>
          <w:sz w:val="32"/>
          <w:szCs w:val="32"/>
        </w:rPr>
        <w:t>第五条</w:t>
      </w:r>
      <w:r>
        <w:rPr>
          <w:rFonts w:hint="eastAsia" w:ascii="仿宋_GB2312" w:hAnsi="黑体" w:eastAsia="仿宋_GB2312" w:cs="黑体"/>
          <w:bCs/>
          <w:sz w:val="32"/>
          <w:szCs w:val="32"/>
        </w:rPr>
        <w:t xml:space="preserve"> </w:t>
      </w:r>
      <w:r>
        <w:rPr>
          <w:rFonts w:hint="eastAsia" w:ascii="仿宋_GB2312" w:hAnsi="仿宋" w:eastAsia="仿宋_GB2312" w:cs="仿宋"/>
          <w:sz w:val="32"/>
          <w:szCs w:val="32"/>
        </w:rPr>
        <w:t>专利奖实行提名制度。市市场监管部门根据《奖励办法》和本实施细则，发布年度专利奖提名工作通知，公布提名材料要求、受理时间及受理方式等有关事项，开展当年度提名、受理、评审工作。</w:t>
      </w:r>
    </w:p>
    <w:p>
      <w:pPr>
        <w:pStyle w:val="13"/>
        <w:spacing w:before="156" w:beforeLines="50" w:after="156" w:afterLines="50" w:line="560" w:lineRule="exact"/>
        <w:jc w:val="center"/>
        <w:rPr>
          <w:rFonts w:ascii="黑体" w:hAnsi="黑体" w:eastAsia="黑体" w:cs="仿宋"/>
          <w:sz w:val="32"/>
          <w:szCs w:val="32"/>
        </w:rPr>
      </w:pPr>
      <w:r>
        <w:rPr>
          <w:rFonts w:hint="eastAsia" w:ascii="黑体" w:hAnsi="黑体" w:eastAsia="黑体" w:cs="黑体"/>
          <w:sz w:val="32"/>
          <w:szCs w:val="32"/>
        </w:rPr>
        <w:t>第二章 提 名</w:t>
      </w:r>
    </w:p>
    <w:p>
      <w:pPr>
        <w:pStyle w:val="13"/>
        <w:spacing w:line="560" w:lineRule="exact"/>
        <w:ind w:firstLine="643" w:firstLineChars="200"/>
        <w:rPr>
          <w:rFonts w:ascii="仿宋_GB2312" w:hAnsi="仿宋" w:eastAsia="仿宋_GB2312" w:cs="仿宋"/>
          <w:sz w:val="32"/>
          <w:szCs w:val="32"/>
        </w:rPr>
      </w:pPr>
      <w:r>
        <w:rPr>
          <w:rFonts w:hint="eastAsia" w:ascii="仿宋_GB2312" w:hAnsi="黑体" w:eastAsia="仿宋_GB2312" w:cs="黑体"/>
          <w:b/>
          <w:kern w:val="0"/>
          <w:sz w:val="32"/>
          <w:szCs w:val="32"/>
        </w:rPr>
        <w:t>第六条</w:t>
      </w:r>
      <w:r>
        <w:rPr>
          <w:rFonts w:hint="eastAsia" w:ascii="仿宋_GB2312" w:hAnsi="仿宋" w:eastAsia="仿宋_GB2312" w:cs="仿宋"/>
          <w:sz w:val="32"/>
          <w:szCs w:val="32"/>
        </w:rPr>
        <w:t xml:space="preserve"> 专利奖项目由下列单位或者个人（以下统称提名人）提名：</w:t>
      </w:r>
    </w:p>
    <w:p>
      <w:pPr>
        <w:pStyle w:val="13"/>
        <w:spacing w:line="560" w:lineRule="exact"/>
        <w:ind w:firstLine="640" w:firstLineChars="200"/>
        <w:rPr>
          <w:rFonts w:hint="eastAsia" w:ascii="仿宋_GB2312" w:hAnsi="仿宋" w:eastAsia="仿宋_GB2312" w:cs="仿宋"/>
          <w:sz w:val="32"/>
          <w:szCs w:val="32"/>
          <w:lang w:val="en"/>
        </w:rPr>
      </w:pPr>
      <w:r>
        <w:rPr>
          <w:rFonts w:hint="eastAsia" w:ascii="仿宋_GB2312" w:hAnsi="仿宋" w:eastAsia="仿宋_GB2312" w:cs="仿宋"/>
          <w:sz w:val="32"/>
          <w:szCs w:val="32"/>
        </w:rPr>
        <w:t>（一）市政府有关组成部门，各区政府（大鹏新区、深汕特别合作区管委会）科技主管部门。</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（二）我市高等院校、有事业单位法人资格的科研机构。</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（三）在我市依法注册的专业性行业协会及知识产权领域的社会团体。</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（四）全职在我市工作的中国科学院院士、中国工程院院士。</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（五）深圳市知识产权专家库的专家和学者。</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（六）其专利项目近三年获得中国专利奖、广东省专利奖或深圳市专利奖，且归口深圳市管理和统计的专利权人或第一发明人（设计人）。</w:t>
      </w:r>
    </w:p>
    <w:p>
      <w:pPr>
        <w:pStyle w:val="13"/>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（七）符合《奖励办法》第十八条规定的其他单位或者个人。</w:t>
      </w:r>
    </w:p>
    <w:p>
      <w:pPr>
        <w:pStyle w:val="13"/>
        <w:spacing w:line="560" w:lineRule="exact"/>
        <w:ind w:firstLine="643" w:firstLineChars="200"/>
        <w:rPr>
          <w:rFonts w:ascii="仿宋_GB2312" w:hAnsi="仿宋" w:eastAsia="仿宋_GB2312" w:cs="仿宋"/>
          <w:sz w:val="32"/>
          <w:szCs w:val="32"/>
        </w:rPr>
      </w:pPr>
      <w:r>
        <w:rPr>
          <w:rFonts w:hint="eastAsia" w:ascii="仿宋_GB2312" w:hAnsi="黑体" w:eastAsia="仿宋_GB2312" w:cs="黑体"/>
          <w:b/>
          <w:bCs/>
          <w:sz w:val="32"/>
          <w:szCs w:val="32"/>
        </w:rPr>
        <w:t>第七条</w:t>
      </w:r>
      <w:r>
        <w:rPr>
          <w:rFonts w:hint="eastAsia" w:ascii="仿宋_GB2312" w:hAnsi="仿宋" w:eastAsia="仿宋_GB2312" w:cs="仿宋"/>
          <w:b/>
          <w:sz w:val="32"/>
          <w:szCs w:val="32"/>
        </w:rPr>
        <w:t xml:space="preserve"> </w:t>
      </w:r>
      <w:r>
        <w:rPr>
          <w:rFonts w:hint="eastAsia" w:ascii="仿宋_GB2312" w:hAnsi="仿宋" w:eastAsia="仿宋_GB2312" w:cs="仿宋"/>
          <w:sz w:val="32"/>
          <w:szCs w:val="32"/>
        </w:rPr>
        <w:t>提名人应在本学科、本行业、本部门范围内进行项目提名。单位提名的，每年度可提名不超过2个项目；个人提名的，应至少两人联合提名1个项目，每人每个年度仅限提名一次。</w:t>
      </w:r>
    </w:p>
    <w:p>
      <w:pPr>
        <w:pStyle w:val="13"/>
        <w:spacing w:line="560" w:lineRule="exact"/>
        <w:ind w:firstLine="643" w:firstLineChars="200"/>
        <w:rPr>
          <w:rFonts w:ascii="仿宋_GB2312" w:hAnsi="仿宋" w:eastAsia="仿宋_GB2312"/>
          <w:bCs/>
          <w:sz w:val="32"/>
          <w:szCs w:val="32"/>
        </w:rPr>
      </w:pPr>
      <w:r>
        <w:rPr>
          <w:rFonts w:hint="eastAsia" w:ascii="仿宋_GB2312" w:hAnsi="黑体" w:eastAsia="仿宋_GB2312" w:cs="黑体"/>
          <w:b/>
          <w:bCs/>
          <w:sz w:val="32"/>
          <w:szCs w:val="32"/>
        </w:rPr>
        <w:t>第八条</w:t>
      </w:r>
      <w:r>
        <w:rPr>
          <w:rFonts w:hint="eastAsia" w:ascii="仿宋_GB2312" w:hAnsi="仿宋" w:eastAsia="仿宋_GB2312" w:cs="仿宋"/>
          <w:sz w:val="32"/>
          <w:szCs w:val="32"/>
        </w:rPr>
        <w:t xml:space="preserve"> 提名人在提名专利奖项目时，应依据本实施细则规定的条件，对项目材料进行审查，客观地做出评价，并填写</w:t>
      </w:r>
      <w:r>
        <w:rPr>
          <w:rFonts w:hint="eastAsia" w:ascii="仿宋_GB2312" w:hAnsi="仿宋" w:eastAsia="仿宋_GB2312" w:cs="仿宋"/>
          <w:bCs/>
          <w:sz w:val="32"/>
          <w:szCs w:val="32"/>
        </w:rPr>
        <w:t>市市场监管部门</w:t>
      </w:r>
      <w:r>
        <w:rPr>
          <w:rFonts w:hint="eastAsia" w:ascii="仿宋_GB2312" w:hAnsi="仿宋" w:eastAsia="仿宋_GB2312" w:cs="仿宋"/>
          <w:sz w:val="32"/>
          <w:szCs w:val="32"/>
        </w:rPr>
        <w:t>制作的提名书，提供必要的资质证明和项目评价意见。提名人应对</w:t>
      </w:r>
      <w:r>
        <w:rPr>
          <w:rFonts w:hint="eastAsia" w:ascii="仿宋_GB2312" w:hAnsi="仿宋" w:eastAsia="仿宋_GB2312"/>
          <w:bCs/>
          <w:sz w:val="32"/>
          <w:szCs w:val="32"/>
        </w:rPr>
        <w:t>提名书及有关材料的真实性负责，并在提名、答辩、异议处理等工作中承担相应义务。</w:t>
      </w:r>
    </w:p>
    <w:p>
      <w:pPr>
        <w:pStyle w:val="13"/>
        <w:spacing w:line="560" w:lineRule="exact"/>
        <w:ind w:firstLine="643" w:firstLineChars="200"/>
        <w:rPr>
          <w:rFonts w:ascii="仿宋_GB2312" w:hAnsi="仿宋" w:eastAsia="仿宋_GB2312" w:cs="仿宋"/>
          <w:sz w:val="32"/>
          <w:szCs w:val="32"/>
        </w:rPr>
      </w:pPr>
      <w:r>
        <w:rPr>
          <w:rFonts w:hint="eastAsia" w:ascii="仿宋_GB2312" w:hAnsi="黑体" w:eastAsia="仿宋_GB2312" w:cs="黑体"/>
          <w:b/>
          <w:bCs/>
          <w:sz w:val="32"/>
          <w:szCs w:val="32"/>
        </w:rPr>
        <w:t>第九条</w:t>
      </w:r>
      <w:r>
        <w:rPr>
          <w:rFonts w:hint="eastAsia" w:ascii="仿宋_GB2312" w:hAnsi="仿宋" w:eastAsia="仿宋_GB2312" w:cs="仿宋"/>
          <w:sz w:val="32"/>
          <w:szCs w:val="32"/>
        </w:rPr>
        <w:t xml:space="preserve"> 被提名专利奖的项目应当具备以下条件：</w:t>
      </w:r>
    </w:p>
    <w:p>
      <w:pPr>
        <w:pStyle w:val="13"/>
        <w:spacing w:line="560" w:lineRule="exact"/>
        <w:ind w:firstLine="640" w:firstLineChars="200"/>
        <w:rPr>
          <w:rFonts w:ascii="仿宋_GB2312" w:hAnsi="仿宋" w:eastAsia="仿宋_GB2312" w:cs="仿宋"/>
          <w:sz w:val="32"/>
          <w:szCs w:val="32"/>
          <w:lang w:val="en"/>
        </w:rPr>
      </w:pPr>
      <w:r>
        <w:rPr>
          <w:rFonts w:hint="eastAsia" w:ascii="仿宋_GB2312" w:hAnsi="仿宋" w:eastAsia="仿宋_GB2312" w:cs="仿宋"/>
          <w:sz w:val="32"/>
          <w:szCs w:val="32"/>
        </w:rPr>
        <w:t>（一）专利权人是组织的，专利权人应为被提名人，且专利权人应是</w:t>
      </w:r>
      <w:r>
        <w:rPr>
          <w:rFonts w:hint="eastAsia" w:ascii="仿宋_GB2312" w:hAnsi="仿宋_GB2312" w:eastAsia="仿宋_GB2312" w:cs="仿宋_GB2312"/>
          <w:sz w:val="32"/>
          <w:szCs w:val="32"/>
        </w:rPr>
        <w:t>依法登记注册</w:t>
      </w:r>
      <w:r>
        <w:rPr>
          <w:rFonts w:hint="eastAsia" w:ascii="仿宋_GB2312" w:hAnsi="仿宋" w:eastAsia="仿宋_GB2312" w:cs="仿宋"/>
          <w:sz w:val="32"/>
          <w:szCs w:val="32"/>
        </w:rPr>
        <w:t>的企事业单位</w:t>
      </w:r>
      <w:r>
        <w:rPr>
          <w:rFonts w:hint="eastAsia" w:ascii="仿宋_GB2312" w:hAnsi="仿宋_GB2312" w:eastAsia="仿宋_GB2312" w:cs="仿宋_GB2312"/>
          <w:sz w:val="32"/>
          <w:szCs w:val="32"/>
        </w:rPr>
        <w:t>、社会组织或其它机构</w:t>
      </w:r>
      <w:r>
        <w:rPr>
          <w:rFonts w:hint="eastAsia" w:ascii="仿宋_GB2312" w:hAnsi="仿宋" w:eastAsia="仿宋_GB2312" w:cs="仿宋"/>
          <w:sz w:val="32"/>
          <w:szCs w:val="32"/>
        </w:rPr>
        <w:t>，其专利业务归口深圳市管理和统计；专利权人为</w:t>
      </w:r>
      <w:r>
        <w:rPr>
          <w:rFonts w:hint="eastAsia" w:ascii="仿宋_GB2312" w:eastAsia="仿宋_GB2312" w:cs="仿宋_GB2312"/>
          <w:sz w:val="32"/>
          <w:szCs w:val="32"/>
        </w:rPr>
        <w:t>个人</w:t>
      </w:r>
      <w:r>
        <w:rPr>
          <w:rFonts w:hint="eastAsia" w:ascii="仿宋_GB2312" w:hAnsi="仿宋" w:eastAsia="仿宋_GB2312" w:cs="仿宋"/>
          <w:sz w:val="32"/>
          <w:szCs w:val="32"/>
        </w:rPr>
        <w:t>的，应当与实施单位联合作为被提名人，专利权人应在本市常住或全职工作，或者是实施单位的法定代表人或股东。实施单位应符合本项规定的组织类型条件。</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（二）被提名项目为已获得国家知识产权局授权的专利，且该专利权有效、稳定，不存在未缴年费或滞纳金等情况。</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（三）专利技术水平高，原创性强，对促进深圳市本领域的科技创新有突出的作用。</w:t>
      </w:r>
    </w:p>
    <w:p>
      <w:pPr>
        <w:pStyle w:val="13"/>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（四）该专利已实施，并取得显著的经济效益、社会效益或生态环境效益。 </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（五）专利文本质量较高。</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（六）针对该专利的保护措施较完善。</w:t>
      </w:r>
    </w:p>
    <w:p>
      <w:pPr>
        <w:pStyle w:val="13"/>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（七）该专利及其产品符合国家、省、市的产业政策。</w:t>
      </w:r>
    </w:p>
    <w:p>
      <w:pPr>
        <w:pStyle w:val="13"/>
        <w:spacing w:line="560" w:lineRule="exact"/>
        <w:ind w:firstLine="643" w:firstLineChars="200"/>
        <w:rPr>
          <w:rFonts w:ascii="仿宋_GB2312" w:hAnsi="仿宋" w:eastAsia="仿宋_GB2312" w:cs="仿宋"/>
          <w:sz w:val="32"/>
          <w:szCs w:val="32"/>
        </w:rPr>
      </w:pPr>
      <w:r>
        <w:rPr>
          <w:rFonts w:hint="eastAsia" w:ascii="仿宋_GB2312" w:hAnsi="黑体" w:eastAsia="仿宋_GB2312" w:cs="黑体"/>
          <w:b/>
          <w:bCs/>
          <w:sz w:val="32"/>
          <w:szCs w:val="32"/>
        </w:rPr>
        <w:t>第十条</w:t>
      </w:r>
      <w:r>
        <w:rPr>
          <w:rFonts w:hint="eastAsia" w:ascii="仿宋_GB2312" w:hAnsi="仿宋" w:eastAsia="仿宋_GB2312" w:cs="仿宋"/>
          <w:sz w:val="32"/>
          <w:szCs w:val="32"/>
        </w:rPr>
        <w:t xml:space="preserve"> 有下列情形之一的，不得被提名专利奖：</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（一）同一项目已经获得国家、广东省、深圳市专利奖的。</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（二）同一项目作为主要知识产权证明，已经获得深圳市科学技术奖的。</w:t>
      </w:r>
    </w:p>
    <w:p>
      <w:pPr>
        <w:pStyle w:val="13"/>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（三）专利权属存在纠纷的。</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（四）专利处于无效宣告程序中的。</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（五）机关单位或者机关工作人员。</w:t>
      </w:r>
    </w:p>
    <w:p>
      <w:pPr>
        <w:pStyle w:val="13"/>
        <w:spacing w:line="560" w:lineRule="exact"/>
        <w:ind w:firstLine="640" w:firstLineChars="200"/>
        <w:rPr>
          <w:rFonts w:hint="eastAsia" w:ascii="仿宋_GB2312" w:hAnsi="仿宋" w:eastAsia="仿宋_GB2312"/>
          <w:sz w:val="32"/>
          <w:szCs w:val="32"/>
        </w:rPr>
      </w:pPr>
      <w:r>
        <w:rPr>
          <w:rFonts w:hint="eastAsia" w:ascii="仿宋_GB2312" w:hAnsi="仿宋" w:eastAsia="仿宋_GB2312" w:cs="仿宋"/>
          <w:sz w:val="32"/>
          <w:szCs w:val="32"/>
        </w:rPr>
        <w:t>（六）保密专利和未解密的国防专利。</w:t>
      </w:r>
    </w:p>
    <w:p>
      <w:pPr>
        <w:pStyle w:val="13"/>
        <w:spacing w:line="560" w:lineRule="exact"/>
        <w:ind w:firstLine="640" w:firstLineChars="200"/>
        <w:rPr>
          <w:rFonts w:ascii="仿宋_GB2312" w:hAnsi="黑体" w:eastAsia="仿宋_GB2312" w:cs="黑体"/>
          <w:sz w:val="32"/>
          <w:szCs w:val="32"/>
        </w:rPr>
      </w:pPr>
      <w:r>
        <w:rPr>
          <w:rFonts w:hint="eastAsia" w:ascii="仿宋_GB2312" w:hAnsi="仿宋" w:eastAsia="仿宋_GB2312" w:cs="仿宋"/>
          <w:sz w:val="32"/>
          <w:szCs w:val="32"/>
        </w:rPr>
        <w:t>（七）法律、法规、规章等规定的其他不适合被提名的情形。</w:t>
      </w:r>
    </w:p>
    <w:p>
      <w:pPr>
        <w:pStyle w:val="13"/>
        <w:spacing w:line="560" w:lineRule="exact"/>
        <w:ind w:firstLine="643" w:firstLineChars="200"/>
        <w:rPr>
          <w:rFonts w:ascii="仿宋_GB2312" w:hAnsi="仿宋" w:eastAsia="仿宋_GB2312" w:cs="仿宋"/>
          <w:sz w:val="32"/>
          <w:szCs w:val="32"/>
        </w:rPr>
      </w:pPr>
      <w:r>
        <w:rPr>
          <w:rFonts w:hint="eastAsia" w:ascii="仿宋_GB2312" w:hAnsi="黑体" w:eastAsia="仿宋_GB2312" w:cs="黑体"/>
          <w:b/>
          <w:bCs/>
          <w:sz w:val="32"/>
          <w:szCs w:val="32"/>
        </w:rPr>
        <w:t>第十一条</w:t>
      </w:r>
      <w:r>
        <w:rPr>
          <w:rFonts w:hint="eastAsia" w:ascii="仿宋_GB2312" w:hAnsi="黑体" w:eastAsia="仿宋_GB2312" w:cs="黑体"/>
          <w:bCs/>
          <w:sz w:val="32"/>
          <w:szCs w:val="32"/>
        </w:rPr>
        <w:t xml:space="preserve"> </w:t>
      </w:r>
      <w:r>
        <w:rPr>
          <w:rFonts w:hint="eastAsia" w:ascii="仿宋_GB2312" w:hAnsi="仿宋" w:eastAsia="仿宋_GB2312" w:cs="仿宋"/>
          <w:sz w:val="32"/>
          <w:szCs w:val="32"/>
        </w:rPr>
        <w:t>提名人应当审查被提名人下列项目材料：</w:t>
      </w:r>
    </w:p>
    <w:p>
      <w:pPr>
        <w:pStyle w:val="13"/>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（一）《深圳市专利奖提名项目信息表》。 </w:t>
      </w:r>
    </w:p>
    <w:p>
      <w:pPr>
        <w:pStyle w:val="13"/>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（二）专利权人是组织的，需提供主体资格相关文件；专利权人是个人的，需提供身份证明文件，同时提供联合被提名单位的主体资格相关文件。 </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（三）专利证书复印件。</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（四）专利公告文件，包括授权公告时的扉页、权利要求书、说明书及其附图，或外观设计图等。</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（五）国家知识产权局近3个月内出具的专利登记簿副本复印件；属于实用新型和外观设计专利的，还需提供专利权评价报告复印件。</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（六）专利权人为两个或者两个以上的，需提供所有专利权人书面同意，并指定其中一个专利权人为被提名人的文件；专利权人与实施单位联合被提名的，需提供实施单位对该专利享有合法实施权的材料。</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七）经济效益证明、社会效益说明或生态环境效益说明；经济效益证明为会计师事务所出具的提名专利奖项目的专项审计报告，应包括该专利项目的产品生产量、项目投资额、销售额、利税、出口额等经济指标；社会效益、生态环境效益说明应提供相应材料。</w:t>
      </w:r>
    </w:p>
    <w:p>
      <w:pPr>
        <w:pStyle w:val="13"/>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（八）专利项目的产品属于药品、食品、农药等涉及生命安全的特殊产品的，应当提供有关部门依法准予生产的市场准入相关材料。 </w:t>
      </w:r>
    </w:p>
    <w:p>
      <w:pPr>
        <w:pStyle w:val="13"/>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（九）其他需提供的材料。</w:t>
      </w:r>
    </w:p>
    <w:p>
      <w:pPr>
        <w:pStyle w:val="13"/>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提名人审查项目材料后，同意提名的，应当向市市场监管部门提交提名书及其他提名材料；由市、区政府部门提名的需加盖公章；其它单位提名的，加盖公章并提交符合提名资质条件的单位证书；个人提名的，需提名人签名并提交提名人资格证明材料。</w:t>
      </w:r>
    </w:p>
    <w:p>
      <w:pPr>
        <w:pStyle w:val="13"/>
        <w:spacing w:line="560" w:lineRule="exact"/>
        <w:jc w:val="center"/>
        <w:rPr>
          <w:rFonts w:ascii="黑体" w:hAnsi="黑体" w:eastAsia="黑体" w:cs="黑体"/>
          <w:sz w:val="32"/>
          <w:szCs w:val="32"/>
        </w:rPr>
      </w:pPr>
      <w:r>
        <w:rPr>
          <w:rFonts w:hint="eastAsia" w:ascii="黑体" w:hAnsi="黑体" w:eastAsia="黑体" w:cs="黑体"/>
          <w:sz w:val="32"/>
          <w:szCs w:val="32"/>
        </w:rPr>
        <w:t>第三章 受理</w:t>
      </w:r>
    </w:p>
    <w:p>
      <w:pPr>
        <w:pStyle w:val="13"/>
        <w:spacing w:line="560" w:lineRule="exact"/>
        <w:ind w:firstLine="643" w:firstLineChars="200"/>
        <w:rPr>
          <w:rFonts w:ascii="仿宋_GB2312" w:hAnsi="仿宋" w:eastAsia="仿宋_GB2312" w:cs="仿宋"/>
          <w:sz w:val="32"/>
          <w:szCs w:val="32"/>
        </w:rPr>
      </w:pPr>
      <w:r>
        <w:rPr>
          <w:rFonts w:hint="eastAsia" w:ascii="仿宋_GB2312" w:hAnsi="黑体" w:eastAsia="仿宋_GB2312" w:cs="黑体"/>
          <w:b/>
          <w:bCs/>
          <w:sz w:val="32"/>
          <w:szCs w:val="32"/>
        </w:rPr>
        <w:t>第十二条</w:t>
      </w:r>
      <w:r>
        <w:rPr>
          <w:rFonts w:hint="eastAsia" w:ascii="仿宋_GB2312" w:hAnsi="仿宋" w:eastAsia="仿宋_GB2312" w:cs="仿宋"/>
          <w:b/>
          <w:sz w:val="32"/>
          <w:szCs w:val="32"/>
        </w:rPr>
        <w:t xml:space="preserve"> </w:t>
      </w:r>
      <w:r>
        <w:rPr>
          <w:rFonts w:hint="eastAsia" w:ascii="仿宋_GB2312" w:hAnsi="仿宋" w:eastAsia="仿宋_GB2312" w:cs="仿宋"/>
          <w:sz w:val="32"/>
          <w:szCs w:val="32"/>
        </w:rPr>
        <w:t>市市场监管部门对提名材料进行形式审查，对不符合规定的提名材料，要求限期补正；逾期未补正的，视为放弃提名；补正后仍不符合规定的，不予受理。</w:t>
      </w:r>
    </w:p>
    <w:p>
      <w:pPr>
        <w:pStyle w:val="13"/>
        <w:spacing w:line="560" w:lineRule="exact"/>
        <w:ind w:firstLine="643" w:firstLineChars="200"/>
        <w:rPr>
          <w:rFonts w:ascii="仿宋_GB2312" w:hAnsi="仿宋" w:eastAsia="仿宋_GB2312" w:cs="仿宋"/>
          <w:sz w:val="32"/>
          <w:szCs w:val="32"/>
        </w:rPr>
      </w:pPr>
      <w:r>
        <w:rPr>
          <w:rFonts w:hint="eastAsia" w:ascii="仿宋_GB2312" w:hAnsi="黑体" w:eastAsia="仿宋_GB2312" w:cs="黑体"/>
          <w:b/>
          <w:bCs/>
          <w:sz w:val="32"/>
          <w:szCs w:val="32"/>
        </w:rPr>
        <w:t>第十三条</w:t>
      </w:r>
      <w:r>
        <w:rPr>
          <w:rFonts w:hint="eastAsia" w:ascii="仿宋_GB2312" w:hAnsi="仿宋" w:eastAsia="仿宋_GB2312" w:cs="仿宋"/>
          <w:sz w:val="32"/>
          <w:szCs w:val="32"/>
        </w:rPr>
        <w:t xml:space="preserve"> 形式审查合格的项目，由市市场监管部门进行公示，公示时间不少于10日。</w:t>
      </w:r>
    </w:p>
    <w:p>
      <w:pPr>
        <w:pStyle w:val="13"/>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任何组织或者个人对公示项目有异议的，可以在公示规定时间内</w:t>
      </w:r>
      <w:r>
        <w:rPr>
          <w:rFonts w:hint="eastAsia" w:ascii="仿宋_GB2312" w:hAnsi="仿宋" w:eastAsia="仿宋_GB2312"/>
          <w:sz w:val="32"/>
          <w:szCs w:val="32"/>
        </w:rPr>
        <w:t>以书面形式</w:t>
      </w:r>
      <w:r>
        <w:rPr>
          <w:rFonts w:hint="eastAsia" w:ascii="仿宋_GB2312" w:hAnsi="仿宋" w:eastAsia="仿宋_GB2312" w:cs="仿宋"/>
          <w:sz w:val="32"/>
          <w:szCs w:val="32"/>
        </w:rPr>
        <w:t>向市市场监管部门提出，</w:t>
      </w:r>
      <w:r>
        <w:rPr>
          <w:rFonts w:hint="eastAsia" w:ascii="仿宋_GB2312" w:hAnsi="仿宋" w:eastAsia="仿宋_GB2312"/>
          <w:sz w:val="32"/>
          <w:szCs w:val="32"/>
        </w:rPr>
        <w:t>并提供必要的证据或者调查线索</w:t>
      </w:r>
      <w:r>
        <w:rPr>
          <w:rFonts w:hint="eastAsia" w:ascii="仿宋_GB2312" w:hAnsi="仿宋" w:eastAsia="仿宋_GB2312" w:cs="仿宋"/>
          <w:sz w:val="32"/>
          <w:szCs w:val="32"/>
        </w:rPr>
        <w:t>。逾期未提出或未提供必要证据或者调查线索的，不予受理。</w:t>
      </w:r>
    </w:p>
    <w:p>
      <w:pPr>
        <w:pStyle w:val="13"/>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组织提出异议的，书面材料应当由其法定代表人在书面材料上签字确认，并加盖公章；个人提出异议的，异议材料应当记载明确的通信地址、电话号码等有效的联系方式，签署真实姓名并提供身份证明文件。</w:t>
      </w:r>
    </w:p>
    <w:p>
      <w:pPr>
        <w:pStyle w:val="13"/>
        <w:spacing w:line="560" w:lineRule="exact"/>
        <w:ind w:firstLine="640" w:firstLineChars="200"/>
        <w:rPr>
          <w:rFonts w:ascii="仿宋_GB2312" w:hAnsi="仿宋" w:eastAsia="仿宋_GB2312"/>
          <w:sz w:val="32"/>
          <w:szCs w:val="32"/>
        </w:rPr>
      </w:pPr>
      <w:r>
        <w:rPr>
          <w:rFonts w:hint="eastAsia" w:ascii="仿宋_GB2312" w:hAnsi="仿宋" w:eastAsia="仿宋_GB2312" w:cs="仿宋"/>
          <w:sz w:val="32"/>
          <w:szCs w:val="32"/>
        </w:rPr>
        <w:t>市市场监管部门</w:t>
      </w:r>
      <w:r>
        <w:rPr>
          <w:rFonts w:hint="eastAsia" w:ascii="仿宋_GB2312" w:hAnsi="仿宋" w:eastAsia="仿宋_GB2312"/>
          <w:sz w:val="32"/>
          <w:szCs w:val="32"/>
        </w:rPr>
        <w:t>应当在接到异议材料后，对异议材料进行审查，符合相关规定的，予以受理，并将受理情况告知实名异议者。不符合规定的异议不予受理。</w:t>
      </w:r>
    </w:p>
    <w:p>
      <w:pPr>
        <w:pStyle w:val="13"/>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市</w:t>
      </w:r>
      <w:r>
        <w:rPr>
          <w:rFonts w:hint="eastAsia" w:ascii="仿宋_GB2312" w:hAnsi="仿宋" w:eastAsia="仿宋_GB2312" w:cs="仿宋"/>
          <w:sz w:val="32"/>
          <w:szCs w:val="32"/>
        </w:rPr>
        <w:t>市场监管</w:t>
      </w:r>
      <w:r>
        <w:rPr>
          <w:rFonts w:hint="eastAsia" w:ascii="仿宋_GB2312" w:hAnsi="仿宋" w:eastAsia="仿宋_GB2312"/>
          <w:sz w:val="32"/>
          <w:szCs w:val="32"/>
        </w:rPr>
        <w:t>部门在异议处理时，需要提名人与被提名人协助调查的，提名人与被提名人应积极配合。</w:t>
      </w:r>
    </w:p>
    <w:p>
      <w:pPr>
        <w:pStyle w:val="13"/>
        <w:spacing w:before="156" w:beforeLines="50" w:after="156" w:afterLines="50" w:line="560" w:lineRule="exact"/>
        <w:jc w:val="center"/>
        <w:rPr>
          <w:rFonts w:ascii="黑体" w:hAnsi="黑体" w:eastAsia="黑体" w:cs="黑体"/>
          <w:sz w:val="32"/>
          <w:szCs w:val="32"/>
        </w:rPr>
      </w:pPr>
      <w:r>
        <w:rPr>
          <w:rFonts w:hint="eastAsia" w:ascii="黑体" w:hAnsi="黑体" w:eastAsia="黑体" w:cs="黑体"/>
          <w:sz w:val="32"/>
          <w:szCs w:val="32"/>
        </w:rPr>
        <w:t>第四章 评审组织</w:t>
      </w:r>
    </w:p>
    <w:p>
      <w:pPr>
        <w:pStyle w:val="13"/>
        <w:spacing w:line="560" w:lineRule="exact"/>
        <w:ind w:firstLine="643" w:firstLineChars="200"/>
        <w:rPr>
          <w:rFonts w:ascii="仿宋_GB2312" w:hAnsi="仿宋" w:eastAsia="仿宋_GB2312" w:cs="仿宋"/>
          <w:sz w:val="32"/>
          <w:szCs w:val="32"/>
        </w:rPr>
      </w:pPr>
      <w:r>
        <w:rPr>
          <w:rFonts w:hint="eastAsia" w:ascii="仿宋_GB2312" w:hAnsi="黑体" w:eastAsia="仿宋_GB2312" w:cs="黑体"/>
          <w:b/>
          <w:bCs/>
          <w:sz w:val="32"/>
          <w:szCs w:val="32"/>
        </w:rPr>
        <w:t>第十四条</w:t>
      </w:r>
      <w:r>
        <w:rPr>
          <w:rFonts w:hint="eastAsia" w:ascii="仿宋_GB2312" w:hAnsi="仿宋" w:eastAsia="仿宋_GB2312" w:cs="仿宋"/>
          <w:sz w:val="32"/>
          <w:szCs w:val="32"/>
        </w:rPr>
        <w:t xml:space="preserve"> 市市场监管部门根据当年提名的数量、提名项目的技术领域分布等情况，组织专利奖评审委员会进行评审。</w:t>
      </w:r>
    </w:p>
    <w:p>
      <w:pPr>
        <w:pStyle w:val="13"/>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专利奖评审委员会由9名或9名以上单数专家组成。来自同一单位的专家不超过1名。专利奖评审委员会专家主要从深圳市知识产权专家库中抽取产生，可另外抽取2-3名专家作为候补。必要时，可以从国家知识产权局、广东省知识产权局以及深圳市科技主管部门的专家库中选取。深圳市专利奖评审委员会专家成员当年度产生，负责当年度深圳市专利奖评审工作。</w:t>
      </w:r>
    </w:p>
    <w:p>
      <w:pPr>
        <w:pStyle w:val="13"/>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提名人、提名单位的工作人员及被提名单位的工作人员不得成为专利奖评审委员会成员。</w:t>
      </w:r>
    </w:p>
    <w:p>
      <w:pPr>
        <w:pStyle w:val="13"/>
        <w:spacing w:line="560" w:lineRule="exact"/>
        <w:ind w:firstLine="643" w:firstLineChars="200"/>
        <w:rPr>
          <w:rFonts w:ascii="仿宋_GB2312" w:hAnsi="仿宋" w:eastAsia="仿宋_GB2312" w:cs="仿宋"/>
          <w:sz w:val="32"/>
          <w:szCs w:val="32"/>
        </w:rPr>
      </w:pPr>
      <w:r>
        <w:rPr>
          <w:rFonts w:hint="eastAsia" w:ascii="仿宋_GB2312" w:hAnsi="黑体" w:eastAsia="仿宋_GB2312" w:cs="黑体"/>
          <w:b/>
          <w:bCs/>
          <w:sz w:val="32"/>
          <w:szCs w:val="32"/>
        </w:rPr>
        <w:t>第十五条</w:t>
      </w:r>
      <w:r>
        <w:rPr>
          <w:rFonts w:hint="eastAsia" w:ascii="仿宋_GB2312" w:hAnsi="仿宋" w:eastAsia="仿宋_GB2312" w:cs="仿宋"/>
          <w:sz w:val="32"/>
          <w:szCs w:val="32"/>
        </w:rPr>
        <w:t xml:space="preserve"> 评审委员会设主任委员1名，由评审委员会委员民主选举产生。主任委员负责主持评审会议，按时提交评审结果。</w:t>
      </w:r>
    </w:p>
    <w:p>
      <w:pPr>
        <w:pStyle w:val="13"/>
        <w:spacing w:line="560" w:lineRule="exact"/>
        <w:ind w:firstLine="643" w:firstLineChars="200"/>
        <w:rPr>
          <w:rFonts w:ascii="仿宋_GB2312" w:hAnsi="仿宋" w:eastAsia="仿宋_GB2312" w:cs="仿宋"/>
          <w:sz w:val="32"/>
          <w:szCs w:val="32"/>
        </w:rPr>
      </w:pPr>
      <w:r>
        <w:rPr>
          <w:rFonts w:hint="eastAsia" w:ascii="仿宋_GB2312" w:hAnsi="黑体" w:eastAsia="仿宋_GB2312" w:cs="黑体"/>
          <w:b/>
          <w:bCs/>
          <w:sz w:val="32"/>
          <w:szCs w:val="32"/>
        </w:rPr>
        <w:t>第十六条</w:t>
      </w:r>
      <w:r>
        <w:rPr>
          <w:rFonts w:hint="eastAsia" w:ascii="仿宋_GB2312" w:hAnsi="仿宋" w:eastAsia="仿宋_GB2312" w:cs="仿宋"/>
          <w:sz w:val="32"/>
          <w:szCs w:val="32"/>
        </w:rPr>
        <w:t xml:space="preserve"> 专利奖实行专业评审组初评和评审委员会评审两轮评审制度。</w:t>
      </w:r>
    </w:p>
    <w:p>
      <w:pPr>
        <w:pStyle w:val="13"/>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专利奖评审委员会根据各评审专家专业背景，结合专利奖的提名数量以及提名项目的技术领域分布情况，成立若干专业评审组。各专业评审组由相关技术领域3名或3名以上专家组成，设组长1名。</w:t>
      </w:r>
    </w:p>
    <w:p>
      <w:pPr>
        <w:pStyle w:val="13"/>
        <w:spacing w:line="560" w:lineRule="exact"/>
        <w:ind w:firstLine="643" w:firstLineChars="200"/>
        <w:rPr>
          <w:rFonts w:ascii="仿宋_GB2312" w:hAnsi="仿宋" w:eastAsia="仿宋_GB2312" w:cs="仿宋"/>
          <w:sz w:val="32"/>
          <w:szCs w:val="32"/>
        </w:rPr>
      </w:pPr>
      <w:r>
        <w:rPr>
          <w:rFonts w:hint="eastAsia" w:ascii="仿宋_GB2312" w:hAnsi="黑体" w:eastAsia="仿宋_GB2312" w:cs="黑体"/>
          <w:b/>
          <w:bCs/>
          <w:sz w:val="32"/>
          <w:szCs w:val="32"/>
        </w:rPr>
        <w:t>第十七条</w:t>
      </w:r>
      <w:r>
        <w:rPr>
          <w:rFonts w:hint="eastAsia" w:ascii="仿宋_GB2312" w:hAnsi="仿宋" w:eastAsia="仿宋_GB2312" w:cs="仿宋"/>
          <w:sz w:val="32"/>
          <w:szCs w:val="32"/>
        </w:rPr>
        <w:t xml:space="preserve"> 专利奖评审实行回避制度，与被提名人、提名人有利害关系的评审专家以及相关工作人员应当回避。</w:t>
      </w:r>
    </w:p>
    <w:p>
      <w:pPr>
        <w:pStyle w:val="13"/>
        <w:spacing w:line="560" w:lineRule="exact"/>
        <w:ind w:firstLine="643" w:firstLineChars="200"/>
        <w:rPr>
          <w:rFonts w:ascii="仿宋_GB2312" w:hAnsi="仿宋" w:eastAsia="仿宋_GB2312" w:cs="仿宋"/>
          <w:sz w:val="32"/>
          <w:szCs w:val="32"/>
        </w:rPr>
      </w:pPr>
      <w:r>
        <w:rPr>
          <w:rFonts w:hint="eastAsia" w:ascii="仿宋_GB2312" w:hAnsi="黑体" w:eastAsia="仿宋_GB2312" w:cs="黑体"/>
          <w:b/>
          <w:bCs/>
          <w:sz w:val="32"/>
          <w:szCs w:val="32"/>
        </w:rPr>
        <w:t>第十八条</w:t>
      </w:r>
      <w:r>
        <w:rPr>
          <w:rFonts w:hint="eastAsia" w:ascii="仿宋_GB2312" w:hAnsi="仿宋" w:eastAsia="仿宋_GB2312" w:cs="仿宋"/>
          <w:sz w:val="32"/>
          <w:szCs w:val="32"/>
        </w:rPr>
        <w:t xml:space="preserve"> 评审专家因特殊原因不能正常履行评审工作职责的，评审委员会应当及时书面告知市市场监管部门，经评审委员会主任委员批准，可以报请市市场监管部门批准从候补专家人选中按顺序补充。</w:t>
      </w:r>
    </w:p>
    <w:p>
      <w:pPr>
        <w:pStyle w:val="13"/>
        <w:spacing w:line="560" w:lineRule="exact"/>
        <w:ind w:firstLine="643" w:firstLineChars="200"/>
        <w:rPr>
          <w:rFonts w:ascii="仿宋_GB2312" w:hAnsi="仿宋" w:eastAsia="仿宋_GB2312" w:cs="仿宋"/>
          <w:sz w:val="32"/>
          <w:szCs w:val="32"/>
        </w:rPr>
      </w:pPr>
      <w:r>
        <w:rPr>
          <w:rFonts w:hint="eastAsia" w:ascii="仿宋_GB2312" w:hAnsi="黑体" w:eastAsia="仿宋_GB2312" w:cs="黑体"/>
          <w:b/>
          <w:bCs/>
          <w:sz w:val="32"/>
          <w:szCs w:val="32"/>
        </w:rPr>
        <w:t>第十九条</w:t>
      </w:r>
      <w:r>
        <w:rPr>
          <w:rFonts w:hint="eastAsia" w:ascii="仿宋_GB2312" w:hAnsi="仿宋" w:eastAsia="仿宋_GB2312" w:cs="仿宋"/>
          <w:sz w:val="32"/>
          <w:szCs w:val="32"/>
        </w:rPr>
        <w:t xml:space="preserve"> 参与专利奖评审的评审专家以及工作人员应当对评审情况、专家名单及参评项目信息等有关内容保密。</w:t>
      </w:r>
    </w:p>
    <w:p>
      <w:pPr>
        <w:pStyle w:val="13"/>
        <w:spacing w:line="560" w:lineRule="exact"/>
        <w:ind w:firstLine="643" w:firstLineChars="200"/>
        <w:rPr>
          <w:rFonts w:ascii="仿宋_GB2312" w:hAnsi="仿宋" w:eastAsia="仿宋_GB2312" w:cs="仿宋"/>
          <w:sz w:val="32"/>
          <w:szCs w:val="32"/>
        </w:rPr>
      </w:pPr>
      <w:r>
        <w:rPr>
          <w:rFonts w:hint="eastAsia" w:ascii="仿宋_GB2312" w:hAnsi="黑体" w:eastAsia="仿宋_GB2312" w:cs="黑体"/>
          <w:b/>
          <w:bCs/>
          <w:sz w:val="32"/>
          <w:szCs w:val="32"/>
        </w:rPr>
        <w:t>第二十条</w:t>
      </w:r>
      <w:r>
        <w:rPr>
          <w:rFonts w:hint="eastAsia" w:ascii="仿宋_GB2312" w:hAnsi="仿宋" w:eastAsia="仿宋_GB2312" w:cs="仿宋"/>
          <w:sz w:val="32"/>
          <w:szCs w:val="32"/>
        </w:rPr>
        <w:t xml:space="preserve"> 专利奖的授奖项目应当从专利文本质量、技术先进性、专利运用、经济效益、社会效益、生态环境效益、保护措施和成效等方面进行综合评价。</w:t>
      </w:r>
    </w:p>
    <w:p>
      <w:pPr>
        <w:pStyle w:val="13"/>
        <w:spacing w:line="560" w:lineRule="exact"/>
        <w:ind w:firstLine="643" w:firstLineChars="200"/>
        <w:rPr>
          <w:rFonts w:ascii="仿宋_GB2312" w:hAnsi="仿宋" w:eastAsia="仿宋_GB2312" w:cs="仿宋"/>
          <w:sz w:val="32"/>
          <w:szCs w:val="32"/>
        </w:rPr>
      </w:pPr>
      <w:r>
        <w:rPr>
          <w:rFonts w:hint="eastAsia" w:ascii="仿宋_GB2312" w:hAnsi="黑体" w:eastAsia="仿宋_GB2312" w:cs="黑体"/>
          <w:b/>
          <w:bCs/>
          <w:sz w:val="32"/>
          <w:szCs w:val="32"/>
        </w:rPr>
        <w:t>第二十一条</w:t>
      </w:r>
      <w:r>
        <w:rPr>
          <w:rFonts w:hint="eastAsia" w:ascii="仿宋_GB2312" w:hAnsi="仿宋" w:eastAsia="仿宋_GB2312" w:cs="仿宋"/>
          <w:sz w:val="32"/>
          <w:szCs w:val="32"/>
        </w:rPr>
        <w:t xml:space="preserve"> 发明、实用新型专利的具体评价指标：</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（一）文本质量（15%）：专利文本质量优良，技术方案保护合理。</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（二）技术先进性（25%）：与国内外现有专利技术相比，具有突出的创新水平和显著的进步；其核心技术或者关键技术相比当前同类技术处于领先水平，实用性好、通用性好。</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（三）专利运用及经济效益（25%）：专利实施及运用良好，利用该专利项目优势，提高了产品市场竞争力；专利产品新增销售收入、净利润或者纳税额明显，产生了显著的经济效益。</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（四）社会效益和发展前景（15%）：专利的实施对促进本市科技、经济和社会进步取得显著效果，推动了本领域和相关领域的技术进步，对本市产业结构调整起到促进作用，具有良好的发展前景。</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（五）生态环境效益（5%）：专利的实施有益于人类生产和生活，为生态平衡带来利益，对人类生产、生活环境的污染净化或提高环境质量方面起到正向推动作用。</w:t>
      </w:r>
    </w:p>
    <w:p>
      <w:pPr>
        <w:pStyle w:val="13"/>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（六）保护措施和成效（15%）：专利保护策略和专利管理制度完善，保护措施合理有效，专利保护成效显著。</w:t>
      </w:r>
    </w:p>
    <w:p>
      <w:pPr>
        <w:pStyle w:val="13"/>
        <w:spacing w:line="560" w:lineRule="exact"/>
        <w:ind w:firstLine="643" w:firstLineChars="200"/>
        <w:rPr>
          <w:rFonts w:ascii="仿宋_GB2312" w:hAnsi="仿宋" w:eastAsia="仿宋_GB2312" w:cs="仿宋"/>
          <w:sz w:val="32"/>
          <w:szCs w:val="32"/>
        </w:rPr>
      </w:pPr>
      <w:r>
        <w:rPr>
          <w:rFonts w:hint="eastAsia" w:ascii="仿宋_GB2312" w:hAnsi="黑体" w:eastAsia="仿宋_GB2312" w:cs="黑体"/>
          <w:b/>
          <w:bCs/>
          <w:sz w:val="32"/>
          <w:szCs w:val="32"/>
        </w:rPr>
        <w:t>第二十二条</w:t>
      </w:r>
      <w:r>
        <w:rPr>
          <w:rFonts w:hint="eastAsia" w:ascii="仿宋_GB2312" w:hAnsi="仿宋" w:eastAsia="仿宋_GB2312" w:cs="仿宋"/>
          <w:sz w:val="32"/>
          <w:szCs w:val="32"/>
        </w:rPr>
        <w:t xml:space="preserve"> 外观设计专利的具体评价指标：</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（一）文本质量（15%）：专利图片或照片清楚完整，保护范围合理。</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（二）设计要点及理念的表达（25%）：外观设计具有独特性、美学效果、寓意表达、结构合理性、安全可靠性、工业适用性。</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（三）专利运用及经济效益（25%）：专利实施及运用良好，利用该专利项目优势，提高了产品市场竞争力；专利产品新增销售收入、净利润或者纳税额明显，产生了显著的经济效益。</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（四）社会效益和发展前景（15%）：专利的实施对促进本市科技、经济和社会进步取得显著效果，推动了本领域和相关领域的技术进步，对本市产业结构调整起到促进作用，具有良好的发展前景。</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（五）生态环境效益（5%）：专利的实施有益于人类生产和生活，为生态平衡带来利益，对人类生产、生活环境的污染净化或提高环境质量方面起到正向推动作用。</w:t>
      </w:r>
    </w:p>
    <w:p>
      <w:pPr>
        <w:pStyle w:val="13"/>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（六）保护措施和成效（15%）：专利保护策略和专利管理制度完善，保护措施合理有效，专利保护成效显著。</w:t>
      </w:r>
    </w:p>
    <w:p>
      <w:pPr>
        <w:pStyle w:val="13"/>
        <w:spacing w:line="560" w:lineRule="exact"/>
        <w:ind w:firstLine="643" w:firstLineChars="200"/>
        <w:rPr>
          <w:rFonts w:ascii="仿宋_GB2312" w:hAnsi="仿宋" w:eastAsia="仿宋_GB2312" w:cs="仿宋"/>
          <w:sz w:val="32"/>
          <w:szCs w:val="32"/>
        </w:rPr>
      </w:pPr>
      <w:r>
        <w:rPr>
          <w:rFonts w:hint="eastAsia" w:ascii="仿宋_GB2312" w:hAnsi="黑体" w:eastAsia="仿宋_GB2312" w:cs="黑体"/>
          <w:b/>
          <w:bCs/>
          <w:sz w:val="32"/>
          <w:szCs w:val="32"/>
        </w:rPr>
        <w:t>第二十三条</w:t>
      </w:r>
      <w:r>
        <w:rPr>
          <w:rFonts w:hint="eastAsia" w:ascii="仿宋_GB2312" w:hAnsi="仿宋" w:eastAsia="仿宋_GB2312" w:cs="仿宋"/>
          <w:sz w:val="32"/>
          <w:szCs w:val="32"/>
        </w:rPr>
        <w:t xml:space="preserve"> 市市场监管部门可以邀请具有公信力的专业机构对提名项目进行技术性评价和出具专业意见，供专业评审组和评审委员会参考。</w:t>
      </w:r>
    </w:p>
    <w:p>
      <w:pPr>
        <w:pStyle w:val="13"/>
        <w:spacing w:line="560" w:lineRule="exact"/>
        <w:ind w:firstLine="643" w:firstLineChars="200"/>
        <w:rPr>
          <w:rFonts w:ascii="仿宋_GB2312" w:hAnsi="仿宋" w:eastAsia="仿宋_GB2312" w:cs="仿宋"/>
          <w:sz w:val="32"/>
          <w:szCs w:val="32"/>
        </w:rPr>
      </w:pPr>
      <w:r>
        <w:rPr>
          <w:rFonts w:hint="eastAsia" w:ascii="仿宋_GB2312" w:hAnsi="黑体" w:eastAsia="仿宋_GB2312" w:cs="黑体"/>
          <w:b/>
          <w:bCs/>
          <w:sz w:val="32"/>
          <w:szCs w:val="32"/>
        </w:rPr>
        <w:t>第二十四条</w:t>
      </w:r>
      <w:r>
        <w:rPr>
          <w:rFonts w:hint="eastAsia" w:ascii="仿宋_GB2312" w:hAnsi="仿宋" w:eastAsia="仿宋_GB2312" w:cs="仿宋"/>
          <w:sz w:val="32"/>
          <w:szCs w:val="32"/>
        </w:rPr>
        <w:t xml:space="preserve"> 专业评审组按照下列规则进行初评：</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（一）审阅材料：专业评审组专家根据分组情况分别审阅提名材料，了解项目的基本情况。</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（二）现场答辩：答辩采取被提名人自我陈述与专家提问相结合的方式，按项目组别进行；被提名人在答辩环节中参加人数不超过3人。专家将答辩情况予以记录，作为下一步评分的主要参考之一。</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（三）评分：专业评审组专家对每一项目以记名方式进行独立评分，各专家的平均分为该项目初评阶段得分；专家应在评分表上签字确认。</w:t>
      </w:r>
    </w:p>
    <w:p>
      <w:pPr>
        <w:pStyle w:val="13"/>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（四）入围名单确定：专业评审组根据各项目得分从高到低排序确定入围项目名单报评审委员会；各专业评审组入围项目数量由评审委员会在专业评审组初评前集体讨论确定。</w:t>
      </w:r>
    </w:p>
    <w:p>
      <w:pPr>
        <w:pStyle w:val="13"/>
        <w:spacing w:line="560" w:lineRule="exact"/>
        <w:ind w:firstLine="643" w:firstLineChars="200"/>
        <w:rPr>
          <w:rFonts w:ascii="仿宋_GB2312" w:hAnsi="仿宋" w:eastAsia="仿宋_GB2312" w:cs="仿宋"/>
          <w:sz w:val="32"/>
          <w:szCs w:val="32"/>
        </w:rPr>
      </w:pPr>
      <w:r>
        <w:rPr>
          <w:rFonts w:hint="eastAsia" w:ascii="仿宋_GB2312" w:hAnsi="黑体" w:eastAsia="仿宋_GB2312" w:cs="黑体"/>
          <w:b/>
          <w:bCs/>
          <w:sz w:val="32"/>
          <w:szCs w:val="32"/>
        </w:rPr>
        <w:t>第二十五条</w:t>
      </w:r>
      <w:r>
        <w:rPr>
          <w:rFonts w:hint="eastAsia" w:ascii="仿宋_GB2312" w:hAnsi="仿宋" w:eastAsia="仿宋_GB2312" w:cs="仿宋"/>
          <w:sz w:val="32"/>
          <w:szCs w:val="32"/>
        </w:rPr>
        <w:t xml:space="preserve"> 评审委员会评审程序：</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（一）现场考察：评审委员会根据需要，可以对专业评审组提出的入围项目名单进行现场考察；专家根据现场考察情况做出定性评价意见；考察人员应当在考察评价意见表上签字，并将考察评价意见存档。</w:t>
      </w:r>
    </w:p>
    <w:p>
      <w:pPr>
        <w:pStyle w:val="13"/>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（二）综合评分：评审委员会各专家根据提名材料、项目答辩情况和现场考察情况对入围项目以记名方式进行独立评分，所有专家评分的平均分为该项目最后得分。</w:t>
      </w:r>
    </w:p>
    <w:p>
      <w:pPr>
        <w:pStyle w:val="13"/>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（三）确定拟奖名单：评审委员会按得分从高到低排序确定推荐拟奖和候补项目名单，推荐拟奖项目25项，候补项目5项。</w:t>
      </w:r>
    </w:p>
    <w:p>
      <w:pPr>
        <w:pStyle w:val="13"/>
        <w:spacing w:line="560" w:lineRule="exact"/>
        <w:ind w:firstLine="643" w:firstLineChars="200"/>
        <w:rPr>
          <w:rFonts w:ascii="仿宋_GB2312" w:hAnsi="仿宋" w:eastAsia="仿宋_GB2312" w:cs="仿宋"/>
          <w:sz w:val="32"/>
          <w:szCs w:val="32"/>
        </w:rPr>
      </w:pPr>
      <w:r>
        <w:rPr>
          <w:rFonts w:hint="eastAsia" w:ascii="仿宋_GB2312" w:hAnsi="黑体" w:eastAsia="仿宋_GB2312" w:cs="黑体"/>
          <w:b/>
          <w:bCs/>
          <w:sz w:val="32"/>
          <w:szCs w:val="32"/>
        </w:rPr>
        <w:t>第二十六条</w:t>
      </w:r>
      <w:r>
        <w:rPr>
          <w:rFonts w:hint="eastAsia" w:ascii="仿宋_GB2312" w:hAnsi="仿宋" w:eastAsia="仿宋_GB2312" w:cs="仿宋"/>
          <w:sz w:val="32"/>
          <w:szCs w:val="32"/>
        </w:rPr>
        <w:t xml:space="preserve"> 评审委员会专家对其出具的分数和意见负责，并在评分表及相关评审表格上签字确认，有不同意见的，可以在签字时作书面说明。</w:t>
      </w:r>
    </w:p>
    <w:p>
      <w:pPr>
        <w:pStyle w:val="13"/>
        <w:spacing w:before="156" w:beforeLines="50" w:after="156" w:afterLines="50" w:line="560" w:lineRule="exact"/>
        <w:jc w:val="center"/>
        <w:rPr>
          <w:rFonts w:ascii="黑体" w:hAnsi="黑体" w:eastAsia="黑体" w:cs="黑体"/>
          <w:sz w:val="32"/>
          <w:szCs w:val="32"/>
        </w:rPr>
      </w:pPr>
      <w:r>
        <w:rPr>
          <w:rFonts w:hint="eastAsia" w:ascii="黑体" w:hAnsi="黑体" w:eastAsia="黑体" w:cs="黑体"/>
          <w:sz w:val="32"/>
          <w:szCs w:val="32"/>
        </w:rPr>
        <w:t xml:space="preserve">第五章 </w:t>
      </w:r>
      <w:bookmarkStart w:id="1" w:name="_Hlk109585397"/>
      <w:r>
        <w:rPr>
          <w:rFonts w:hint="eastAsia" w:ascii="黑体" w:hAnsi="黑体" w:eastAsia="黑体" w:cs="黑体"/>
          <w:sz w:val="32"/>
          <w:szCs w:val="32"/>
        </w:rPr>
        <w:t>拟奖及授奖</w:t>
      </w:r>
      <w:bookmarkEnd w:id="1"/>
    </w:p>
    <w:p>
      <w:pPr>
        <w:pStyle w:val="13"/>
        <w:spacing w:line="560" w:lineRule="exact"/>
        <w:ind w:firstLine="643" w:firstLineChars="200"/>
        <w:rPr>
          <w:rFonts w:ascii="仿宋_GB2312" w:hAnsi="仿宋" w:eastAsia="仿宋_GB2312" w:cs="仿宋"/>
          <w:sz w:val="32"/>
          <w:szCs w:val="32"/>
        </w:rPr>
      </w:pPr>
      <w:r>
        <w:rPr>
          <w:rFonts w:hint="eastAsia" w:ascii="仿宋_GB2312" w:hAnsi="黑体" w:eastAsia="仿宋_GB2312" w:cs="黑体"/>
          <w:b/>
          <w:bCs/>
          <w:sz w:val="32"/>
          <w:szCs w:val="32"/>
        </w:rPr>
        <w:t>第二十七条</w:t>
      </w:r>
      <w:r>
        <w:rPr>
          <w:rFonts w:hint="eastAsia" w:ascii="仿宋_GB2312" w:hAnsi="仿宋" w:eastAsia="仿宋_GB2312" w:cs="仿宋"/>
          <w:sz w:val="32"/>
          <w:szCs w:val="32"/>
        </w:rPr>
        <w:t xml:space="preserve"> 评审委员会推荐的拟奖项目和候补项目，市市场监管部门按照《奖励办法》等相关规定，向市财政、科技创新、发展改革、工业和信息化、税务、海关等部门征求是否存在违法违规情况及是否同意拟奖等意见，未提出反对意见的，视为同意拟奖。</w:t>
      </w:r>
    </w:p>
    <w:p>
      <w:pPr>
        <w:pStyle w:val="13"/>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市市场监管部门对拟奖项目及候补项目进行审查，对被提名</w:t>
      </w:r>
      <w:r>
        <w:rPr>
          <w:rFonts w:hint="eastAsia" w:ascii="仿宋_GB2312" w:hAnsi="仿宋" w:eastAsia="仿宋_GB2312"/>
          <w:sz w:val="32"/>
          <w:szCs w:val="32"/>
        </w:rPr>
        <w:t>人存在不符合相关法律法规规定、或经查询深圳信用网等发现已被列入严重失信主体名单且根据《奖励办法》被取消被提名资格、或</w:t>
      </w:r>
      <w:r>
        <w:rPr>
          <w:rFonts w:hint="eastAsia" w:ascii="仿宋_GB2312" w:hAnsi="仿宋" w:eastAsia="仿宋_GB2312" w:cs="仿宋"/>
          <w:sz w:val="32"/>
          <w:szCs w:val="32"/>
        </w:rPr>
        <w:t>经核实相关部门反对意见成立等情形的，取消项目拟奖资格，由无上述情形的候补项目进行递补拟奖。</w:t>
      </w:r>
    </w:p>
    <w:p>
      <w:pPr>
        <w:pStyle w:val="13"/>
        <w:spacing w:line="560" w:lineRule="exact"/>
        <w:ind w:firstLine="643" w:firstLineChars="200"/>
        <w:rPr>
          <w:rFonts w:ascii="仿宋_GB2312" w:hAnsi="仿宋" w:eastAsia="仿宋_GB2312" w:cs="仿宋"/>
          <w:sz w:val="32"/>
          <w:szCs w:val="32"/>
        </w:rPr>
      </w:pPr>
      <w:r>
        <w:rPr>
          <w:rFonts w:hint="eastAsia" w:ascii="仿宋_GB2312" w:hAnsi="黑体" w:eastAsia="仿宋_GB2312" w:cs="黑体"/>
          <w:b/>
          <w:bCs/>
          <w:sz w:val="32"/>
          <w:szCs w:val="32"/>
        </w:rPr>
        <w:t>第二十八条</w:t>
      </w:r>
      <w:r>
        <w:rPr>
          <w:rFonts w:hint="eastAsia" w:ascii="仿宋_GB2312" w:hAnsi="仿宋" w:eastAsia="仿宋_GB2312" w:cs="仿宋"/>
          <w:sz w:val="32"/>
          <w:szCs w:val="32"/>
        </w:rPr>
        <w:t xml:space="preserve"> 拟奖项目经审查符合相关规定条件的，由市市场监管部门报请市科学技术奖励委员会办公室（以下简称市奖励办）按相关程序进行审核、公示。审核、公示期间发现拟奖项目不应授奖的，不再递补。</w:t>
      </w:r>
    </w:p>
    <w:p>
      <w:pPr>
        <w:pStyle w:val="13"/>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经市政府批准后产生当年度专利奖获奖项目。</w:t>
      </w:r>
    </w:p>
    <w:p>
      <w:pPr>
        <w:pStyle w:val="13"/>
        <w:spacing w:line="560" w:lineRule="exact"/>
        <w:ind w:firstLine="643" w:firstLineChars="200"/>
        <w:rPr>
          <w:rFonts w:ascii="仿宋_GB2312" w:hAnsi="仿宋" w:eastAsia="仿宋_GB2312" w:cs="仿宋"/>
          <w:sz w:val="32"/>
          <w:szCs w:val="32"/>
        </w:rPr>
      </w:pPr>
      <w:r>
        <w:rPr>
          <w:rFonts w:hint="eastAsia" w:ascii="仿宋_GB2312" w:hAnsi="黑体" w:eastAsia="仿宋_GB2312" w:cs="黑体"/>
          <w:b/>
          <w:bCs/>
          <w:sz w:val="32"/>
          <w:szCs w:val="32"/>
        </w:rPr>
        <w:t>第二十九条</w:t>
      </w:r>
      <w:r>
        <w:rPr>
          <w:rFonts w:hint="eastAsia" w:ascii="仿宋_GB2312" w:hAnsi="黑体" w:eastAsia="仿宋_GB2312" w:cs="黑体"/>
          <w:bCs/>
          <w:sz w:val="32"/>
          <w:szCs w:val="32"/>
        </w:rPr>
        <w:t xml:space="preserve"> </w:t>
      </w:r>
      <w:r>
        <w:rPr>
          <w:rFonts w:hint="eastAsia" w:ascii="仿宋_GB2312" w:hAnsi="仿宋" w:eastAsia="仿宋_GB2312" w:cs="仿宋"/>
          <w:sz w:val="32"/>
          <w:szCs w:val="32"/>
        </w:rPr>
        <w:t>专利奖奖金按照《奖励办法》《深圳市市场监督管理局知识产权领域专项资金操作规程》的对应配套奖励标准等有关规定执行。奖金的发放根据市市场监管部门相关规定另行办理。</w:t>
      </w:r>
    </w:p>
    <w:p>
      <w:pPr>
        <w:pStyle w:val="13"/>
        <w:spacing w:before="156" w:beforeLines="50" w:after="156" w:afterLines="50" w:line="560" w:lineRule="exact"/>
        <w:jc w:val="center"/>
        <w:rPr>
          <w:rFonts w:ascii="黑体" w:hAnsi="黑体" w:eastAsia="黑体" w:cs="黑体"/>
          <w:sz w:val="32"/>
          <w:szCs w:val="32"/>
        </w:rPr>
      </w:pPr>
      <w:r>
        <w:rPr>
          <w:rFonts w:hint="eastAsia" w:ascii="黑体" w:hAnsi="黑体" w:eastAsia="黑体" w:cs="黑体"/>
          <w:sz w:val="32"/>
          <w:szCs w:val="32"/>
        </w:rPr>
        <w:t>第六章 监督管理</w:t>
      </w:r>
    </w:p>
    <w:p>
      <w:pPr>
        <w:pStyle w:val="13"/>
        <w:spacing w:line="560" w:lineRule="exact"/>
        <w:ind w:firstLine="643" w:firstLineChars="200"/>
        <w:rPr>
          <w:rFonts w:ascii="仿宋_GB2312" w:hAnsi="仿宋" w:eastAsia="仿宋_GB2312" w:cs="仿宋"/>
          <w:sz w:val="32"/>
          <w:szCs w:val="32"/>
        </w:rPr>
      </w:pPr>
      <w:r>
        <w:rPr>
          <w:rFonts w:hint="eastAsia" w:ascii="仿宋_GB2312" w:hAnsi="黑体" w:eastAsia="仿宋_GB2312" w:cs="黑体"/>
          <w:b/>
          <w:bCs/>
          <w:sz w:val="32"/>
          <w:szCs w:val="32"/>
        </w:rPr>
        <w:t>第三十条</w:t>
      </w:r>
      <w:r>
        <w:rPr>
          <w:rFonts w:hint="eastAsia" w:ascii="仿宋_GB2312" w:hAnsi="仿宋" w:eastAsia="仿宋_GB2312" w:cs="仿宋"/>
          <w:sz w:val="32"/>
          <w:szCs w:val="32"/>
        </w:rPr>
        <w:t xml:space="preserve"> 被提名人侵犯他人知识产权、弄虚作假或者以其他不正当手段骗取专利奖的，以及提名人提供虚假数据、材料，协助他人骗取专利奖的，由市市场监管部门报请市奖励办，按照《奖励办法》有关规定进行处理。</w:t>
      </w:r>
    </w:p>
    <w:p>
      <w:pPr>
        <w:pStyle w:val="13"/>
        <w:spacing w:line="560" w:lineRule="exact"/>
        <w:ind w:firstLine="643" w:firstLineChars="200"/>
        <w:rPr>
          <w:rFonts w:ascii="仿宋_GB2312" w:hAnsi="仿宋" w:eastAsia="仿宋_GB2312" w:cs="仿宋"/>
          <w:sz w:val="32"/>
          <w:szCs w:val="32"/>
        </w:rPr>
      </w:pPr>
      <w:r>
        <w:rPr>
          <w:rFonts w:hint="eastAsia" w:ascii="仿宋_GB2312" w:hAnsi="黑体" w:eastAsia="仿宋_GB2312" w:cs="黑体"/>
          <w:b/>
          <w:sz w:val="32"/>
          <w:szCs w:val="32"/>
        </w:rPr>
        <w:t xml:space="preserve">第三十一条 </w:t>
      </w:r>
      <w:r>
        <w:rPr>
          <w:rFonts w:hint="eastAsia" w:ascii="仿宋_GB2312" w:hAnsi="仿宋" w:eastAsia="仿宋_GB2312" w:cs="仿宋"/>
          <w:sz w:val="32"/>
          <w:szCs w:val="32"/>
        </w:rPr>
        <w:t>参与专利奖评审的有关工作人员、评审专家在评审活动中有弄虚作假、徇私舞弊或其他违法违规行为的，工作人员由市市场监管部门按照《奖励办法》有关规定予以公开，依法追究相关责任；评审专家由市市场监管部门按照《奖励办法》有关规定予以公开，并报请市奖励办，按照《奖励办法》有关规定进行处理。</w:t>
      </w:r>
    </w:p>
    <w:p>
      <w:pPr>
        <w:pStyle w:val="13"/>
        <w:spacing w:before="156" w:beforeLines="50" w:after="156" w:afterLines="50" w:line="560" w:lineRule="exact"/>
        <w:jc w:val="center"/>
        <w:rPr>
          <w:rFonts w:ascii="黑体" w:hAnsi="黑体" w:eastAsia="黑体" w:cs="黑体"/>
          <w:sz w:val="32"/>
          <w:szCs w:val="32"/>
        </w:rPr>
      </w:pPr>
      <w:r>
        <w:rPr>
          <w:rFonts w:hint="eastAsia" w:ascii="黑体" w:hAnsi="黑体" w:eastAsia="黑体" w:cs="黑体"/>
          <w:sz w:val="32"/>
          <w:szCs w:val="32"/>
        </w:rPr>
        <w:t>第七章 附 则</w:t>
      </w:r>
    </w:p>
    <w:p>
      <w:pPr>
        <w:pStyle w:val="13"/>
        <w:spacing w:line="560" w:lineRule="exact"/>
        <w:ind w:firstLine="643" w:firstLineChars="200"/>
        <w:rPr>
          <w:rFonts w:ascii="仿宋_GB2312" w:hAnsi="仿宋" w:eastAsia="仿宋_GB2312"/>
          <w:sz w:val="32"/>
          <w:szCs w:val="32"/>
        </w:rPr>
      </w:pPr>
      <w:r>
        <w:rPr>
          <w:rFonts w:hint="eastAsia" w:ascii="仿宋_GB2312" w:hAnsi="黑体" w:eastAsia="仿宋_GB2312" w:cs="黑体"/>
          <w:b/>
          <w:sz w:val="32"/>
          <w:szCs w:val="32"/>
        </w:rPr>
        <w:t>第三十二条</w:t>
      </w:r>
      <w:r>
        <w:rPr>
          <w:rFonts w:hint="eastAsia" w:ascii="仿宋_GB2312" w:hAnsi="仿宋" w:eastAsia="仿宋_GB2312" w:cs="仿宋"/>
          <w:b/>
          <w:sz w:val="32"/>
          <w:szCs w:val="32"/>
        </w:rPr>
        <w:t xml:space="preserve"> </w:t>
      </w:r>
      <w:r>
        <w:rPr>
          <w:rFonts w:hint="eastAsia" w:ascii="仿宋_GB2312" w:hAnsi="仿宋" w:eastAsia="仿宋_GB2312"/>
          <w:sz w:val="32"/>
          <w:szCs w:val="32"/>
        </w:rPr>
        <w:t>本实施细则由市</w:t>
      </w:r>
      <w:r>
        <w:rPr>
          <w:rFonts w:hint="eastAsia" w:ascii="仿宋_GB2312" w:hAnsi="仿宋" w:eastAsia="仿宋_GB2312" w:cs="仿宋"/>
          <w:sz w:val="32"/>
          <w:szCs w:val="32"/>
        </w:rPr>
        <w:t>市场监管</w:t>
      </w:r>
      <w:r>
        <w:rPr>
          <w:rFonts w:hint="eastAsia" w:ascii="仿宋_GB2312" w:hAnsi="仿宋" w:eastAsia="仿宋_GB2312"/>
          <w:sz w:val="32"/>
          <w:szCs w:val="32"/>
        </w:rPr>
        <w:t>部门负责解释。</w:t>
      </w:r>
    </w:p>
    <w:p>
      <w:pPr>
        <w:tabs>
          <w:tab w:val="left" w:pos="-142"/>
        </w:tabs>
        <w:rPr>
          <w:rFonts w:ascii="仿宋_GB2312" w:eastAsia="仿宋_GB2312"/>
          <w:bCs/>
          <w:sz w:val="32"/>
          <w:szCs w:val="32"/>
        </w:rPr>
      </w:pPr>
      <w:r>
        <w:rPr>
          <w:rFonts w:hint="eastAsia" w:ascii="仿宋_GB2312" w:hAnsi="仿宋" w:eastAsia="仿宋_GB2312" w:cs="仿宋"/>
          <w:b/>
          <w:sz w:val="32"/>
          <w:szCs w:val="32"/>
        </w:rPr>
        <w:t xml:space="preserve">    第三十三条</w:t>
      </w:r>
      <w:r>
        <w:rPr>
          <w:rFonts w:hint="eastAsia" w:ascii="仿宋_GB2312" w:hAnsi="黑体" w:eastAsia="仿宋_GB2312" w:cs="黑体"/>
          <w:bCs/>
          <w:sz w:val="32"/>
          <w:szCs w:val="32"/>
        </w:rPr>
        <w:t xml:space="preserve"> </w:t>
      </w:r>
      <w:r>
        <w:rPr>
          <w:rFonts w:hint="eastAsia" w:ascii="仿宋_GB2312" w:hAnsi="仿宋" w:eastAsia="仿宋_GB2312" w:cs="仿宋"/>
          <w:sz w:val="32"/>
          <w:szCs w:val="32"/>
        </w:rPr>
        <w:t>本实施细则自</w:t>
      </w:r>
      <w:r>
        <w:rPr>
          <w:rFonts w:hint="eastAsia" w:ascii="仿宋_GB2312" w:hAnsi="Calibri" w:eastAsia="仿宋_GB2312" w:cs="仿宋_GB2312"/>
          <w:sz w:val="32"/>
          <w:szCs w:val="32"/>
        </w:rPr>
        <w:t>2022</w:t>
      </w:r>
      <w:r>
        <w:rPr>
          <w:rFonts w:hint="eastAsia" w:ascii="仿宋_GB2312" w:hAnsi="仿宋" w:eastAsia="仿宋_GB2312" w:cs="仿宋"/>
          <w:sz w:val="32"/>
          <w:szCs w:val="32"/>
        </w:rPr>
        <w:t>年</w:t>
      </w:r>
      <w:r>
        <w:rPr>
          <w:rFonts w:hint="eastAsia" w:ascii="仿宋_GB2312" w:hAnsi="Calibri" w:eastAsia="仿宋_GB2312" w:cs="仿宋_GB2312"/>
          <w:sz w:val="32"/>
          <w:szCs w:val="32"/>
        </w:rPr>
        <w:t>11</w:t>
      </w:r>
      <w:r>
        <w:rPr>
          <w:rFonts w:hint="eastAsia" w:ascii="仿宋_GB2312" w:hAnsi="仿宋" w:eastAsia="仿宋_GB2312" w:cs="仿宋"/>
          <w:sz w:val="32"/>
          <w:szCs w:val="32"/>
        </w:rPr>
        <w:t>月</w:t>
      </w:r>
      <w:r>
        <w:rPr>
          <w:rFonts w:hint="eastAsia" w:ascii="仿宋_GB2312" w:hAnsi="Calibri" w:eastAsia="仿宋_GB2312" w:cs="仿宋_GB2312"/>
          <w:sz w:val="32"/>
          <w:szCs w:val="32"/>
        </w:rPr>
        <w:t>1</w:t>
      </w:r>
      <w:r>
        <w:rPr>
          <w:rFonts w:hint="eastAsia" w:ascii="仿宋_GB2312" w:hAnsi="仿宋" w:eastAsia="仿宋_GB2312" w:cs="仿宋"/>
          <w:sz w:val="32"/>
          <w:szCs w:val="32"/>
        </w:rPr>
        <w:t>日起施行，有效期5年。《深圳市科学技术奖（专利奖）奖励办法实施细则》（深市监规〔2017〕8号）同时废止。</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ascii="仿宋_GB2312" w:hAnsi="宋体" w:eastAsia="仿宋_GB2312"/>
          <w:sz w:val="32"/>
          <w:szCs w:val="32"/>
        </w:rPr>
        <w:sectPr>
          <w:footerReference r:id="rId3" w:type="default"/>
          <w:footerReference r:id="rId4" w:type="even"/>
          <w:pgSz w:w="11906" w:h="16838"/>
          <w:pgMar w:top="1588" w:right="1474" w:bottom="1588" w:left="1474" w:header="851" w:footer="992" w:gutter="0"/>
          <w:cols w:space="720" w:num="1"/>
          <w:titlePg/>
          <w:docGrid w:type="lines" w:linePitch="312" w:charSpace="0"/>
        </w:sect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spacing w:line="460" w:lineRule="exact"/>
        <w:rPr>
          <w:rFonts w:hint="eastAsia" w:ascii="黑体" w:hAnsi="宋体" w:eastAsia="黑体"/>
          <w:sz w:val="28"/>
          <w:szCs w:val="28"/>
        </w:rPr>
      </w:pPr>
      <w:r>
        <w:rPr>
          <w:rFonts w:hint="eastAsia" w:ascii="黑体" w:hAnsi="宋体" w:eastAsia="黑体"/>
          <w:sz w:val="28"/>
          <w:szCs w:val="28"/>
        </w:rPr>
        <w:t xml:space="preserve"> 公开属性：主动公开</w:t>
      </w:r>
    </w:p>
    <w:p>
      <w:pPr>
        <w:spacing w:line="460" w:lineRule="exact"/>
        <w:rPr>
          <w:rFonts w:hint="eastAsia" w:ascii="仿宋_GB2312" w:hAnsi="宋体" w:eastAsia="仿宋_GB2312"/>
          <w:sz w:val="32"/>
          <w:szCs w:val="32"/>
        </w:rPr>
      </w:pPr>
    </w:p>
    <w:tbl>
      <w:tblPr>
        <w:tblStyle w:val="5"/>
        <w:tblW w:w="0" w:type="auto"/>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74"/>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Pr>
        <w:tc>
          <w:tcPr>
            <w:tcW w:w="9174" w:type="dxa"/>
            <w:noWrap w:val="0"/>
            <w:vAlign w:val="center"/>
          </w:tcPr>
          <w:p>
            <w:pPr>
              <w:spacing w:line="460" w:lineRule="exact"/>
              <w:ind w:firstLine="140" w:firstLineChars="50"/>
              <w:rPr>
                <w:rFonts w:hint="eastAsia" w:ascii="仿宋_GB2312" w:hAnsi="宋体" w:eastAsia="仿宋_GB2312"/>
                <w:sz w:val="28"/>
                <w:szCs w:val="28"/>
                <w:lang w:val="en"/>
              </w:rPr>
            </w:pPr>
            <w:r>
              <w:rPr>
                <w:rFonts w:hint="eastAsia" w:ascii="仿宋_GB2312" w:hAnsi="宋体" w:eastAsia="仿宋_GB2312"/>
                <w:sz w:val="28"/>
                <w:szCs w:val="28"/>
              </w:rPr>
              <w:t xml:space="preserve">深圳市市场监督管理局办公室                </w:t>
            </w:r>
            <w:r>
              <w:rPr>
                <w:rFonts w:hint="eastAsia" w:ascii="仿宋_GB2312" w:hAnsi="宋体" w:eastAsia="仿宋_GB2312"/>
                <w:sz w:val="28"/>
                <w:szCs w:val="28"/>
                <w:lang w:val="en"/>
              </w:rPr>
              <w:t>2022年10月11日印发</w:t>
            </w:r>
          </w:p>
        </w:tc>
      </w:tr>
    </w:tbl>
    <w:p>
      <w:pPr>
        <w:rPr>
          <w:rFonts w:hint="eastAsia"/>
        </w:rPr>
      </w:pPr>
    </w:p>
    <w:sectPr>
      <w:footerReference r:id="rId6" w:type="first"/>
      <w:footerReference r:id="rId5" w:type="default"/>
      <w:pgSz w:w="11906" w:h="16838"/>
      <w:pgMar w:top="1588" w:right="1474" w:bottom="1588" w:left="1474"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iddenHorzOCl">
    <w:altName w:val="华文仿宋"/>
    <w:panose1 w:val="00000000000000000000"/>
    <w:charset w:val="86"/>
    <w:family w:val="swiss"/>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3000509000000000000"/>
    <w:charset w:val="86"/>
    <w:family w:val="auto"/>
    <w:pitch w:val="default"/>
    <w:sig w:usb0="00000000"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hint="eastAsia"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rPr>
      <w:fldChar w:fldCharType="begin"/>
    </w:r>
    <w:r>
      <w:rPr>
        <w:rFonts w:hint="eastAsia" w:ascii="仿宋_GB2312" w:eastAsia="仿宋_GB2312"/>
        <w:sz w:val="28"/>
        <w:szCs w:val="28"/>
      </w:rPr>
      <w:instrText xml:space="preserve"> PAGE </w:instrText>
    </w:r>
    <w:r>
      <w:rPr>
        <w:rFonts w:hint="eastAsia" w:ascii="仿宋_GB2312" w:eastAsia="仿宋_GB2312"/>
        <w:sz w:val="28"/>
        <w:szCs w:val="28"/>
      </w:rPr>
      <w:fldChar w:fldCharType="separate"/>
    </w:r>
    <w:r>
      <w:rPr>
        <w:rFonts w:ascii="仿宋_GB2312" w:eastAsia="仿宋_GB2312"/>
        <w:sz w:val="28"/>
        <w:szCs w:val="28"/>
        <w:lang/>
      </w:rPr>
      <w:t>2</w:t>
    </w:r>
    <w:r>
      <w:rPr>
        <w:rFonts w:hint="eastAsia" w:ascii="仿宋_GB2312" w:eastAsia="仿宋_GB2312"/>
        <w:sz w:val="28"/>
        <w:szCs w:val="28"/>
      </w:rPr>
      <w:fldChar w:fldCharType="end"/>
    </w:r>
    <w:r>
      <w:rPr>
        <w:rFonts w:hint="eastAsia" w:ascii="仿宋_GB2312" w:eastAsia="仿宋_GB2312"/>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5"/>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8D0"/>
    <w:rsid w:val="00000181"/>
    <w:rsid w:val="000025F3"/>
    <w:rsid w:val="00002731"/>
    <w:rsid w:val="00002D06"/>
    <w:rsid w:val="00003189"/>
    <w:rsid w:val="000038DD"/>
    <w:rsid w:val="00004589"/>
    <w:rsid w:val="000062D1"/>
    <w:rsid w:val="00006D69"/>
    <w:rsid w:val="0000760A"/>
    <w:rsid w:val="000101DF"/>
    <w:rsid w:val="000111A9"/>
    <w:rsid w:val="00013547"/>
    <w:rsid w:val="000144CA"/>
    <w:rsid w:val="00015FCA"/>
    <w:rsid w:val="000202AF"/>
    <w:rsid w:val="000229F4"/>
    <w:rsid w:val="000234B3"/>
    <w:rsid w:val="00024CB5"/>
    <w:rsid w:val="00024CCD"/>
    <w:rsid w:val="0002673F"/>
    <w:rsid w:val="00027598"/>
    <w:rsid w:val="0003094C"/>
    <w:rsid w:val="00031641"/>
    <w:rsid w:val="0003345A"/>
    <w:rsid w:val="000334AF"/>
    <w:rsid w:val="00034FA6"/>
    <w:rsid w:val="000356DF"/>
    <w:rsid w:val="0003640B"/>
    <w:rsid w:val="0003666E"/>
    <w:rsid w:val="00037FC1"/>
    <w:rsid w:val="00037FCD"/>
    <w:rsid w:val="000408F5"/>
    <w:rsid w:val="00041520"/>
    <w:rsid w:val="00041719"/>
    <w:rsid w:val="00044642"/>
    <w:rsid w:val="00044753"/>
    <w:rsid w:val="000456D6"/>
    <w:rsid w:val="00047833"/>
    <w:rsid w:val="000518F2"/>
    <w:rsid w:val="000523C8"/>
    <w:rsid w:val="00052BBB"/>
    <w:rsid w:val="00053723"/>
    <w:rsid w:val="00054D9A"/>
    <w:rsid w:val="0005687A"/>
    <w:rsid w:val="0005696B"/>
    <w:rsid w:val="000569FD"/>
    <w:rsid w:val="00056AA8"/>
    <w:rsid w:val="0006017E"/>
    <w:rsid w:val="0006102E"/>
    <w:rsid w:val="0006185C"/>
    <w:rsid w:val="00061F51"/>
    <w:rsid w:val="0006233D"/>
    <w:rsid w:val="0006246A"/>
    <w:rsid w:val="00062581"/>
    <w:rsid w:val="000628B0"/>
    <w:rsid w:val="00064CB8"/>
    <w:rsid w:val="0006654A"/>
    <w:rsid w:val="00070AF5"/>
    <w:rsid w:val="000710BF"/>
    <w:rsid w:val="00071ADF"/>
    <w:rsid w:val="0007235F"/>
    <w:rsid w:val="00073997"/>
    <w:rsid w:val="00076542"/>
    <w:rsid w:val="000771A0"/>
    <w:rsid w:val="000801AA"/>
    <w:rsid w:val="00080656"/>
    <w:rsid w:val="000817F0"/>
    <w:rsid w:val="00081E8A"/>
    <w:rsid w:val="00084E65"/>
    <w:rsid w:val="0008689C"/>
    <w:rsid w:val="000903A8"/>
    <w:rsid w:val="00091810"/>
    <w:rsid w:val="00092236"/>
    <w:rsid w:val="000925CB"/>
    <w:rsid w:val="00092790"/>
    <w:rsid w:val="00093A16"/>
    <w:rsid w:val="00095250"/>
    <w:rsid w:val="00095688"/>
    <w:rsid w:val="00095EC6"/>
    <w:rsid w:val="00097FD5"/>
    <w:rsid w:val="000A05E3"/>
    <w:rsid w:val="000A0A9D"/>
    <w:rsid w:val="000A3538"/>
    <w:rsid w:val="000A3754"/>
    <w:rsid w:val="000A3EAF"/>
    <w:rsid w:val="000A44DE"/>
    <w:rsid w:val="000A51C8"/>
    <w:rsid w:val="000A6AAF"/>
    <w:rsid w:val="000B2D9A"/>
    <w:rsid w:val="000B465E"/>
    <w:rsid w:val="000B57AC"/>
    <w:rsid w:val="000B5BEE"/>
    <w:rsid w:val="000B5CC2"/>
    <w:rsid w:val="000B6C2A"/>
    <w:rsid w:val="000B7B9F"/>
    <w:rsid w:val="000B7CFE"/>
    <w:rsid w:val="000C05FF"/>
    <w:rsid w:val="000C07DB"/>
    <w:rsid w:val="000C12FD"/>
    <w:rsid w:val="000C217E"/>
    <w:rsid w:val="000C285D"/>
    <w:rsid w:val="000C2BA0"/>
    <w:rsid w:val="000C4C2D"/>
    <w:rsid w:val="000C504E"/>
    <w:rsid w:val="000C607A"/>
    <w:rsid w:val="000C6A87"/>
    <w:rsid w:val="000C77E5"/>
    <w:rsid w:val="000D0396"/>
    <w:rsid w:val="000D0BC4"/>
    <w:rsid w:val="000D0E48"/>
    <w:rsid w:val="000D1DE2"/>
    <w:rsid w:val="000D2AB7"/>
    <w:rsid w:val="000D2F60"/>
    <w:rsid w:val="000D4B88"/>
    <w:rsid w:val="000D5BE6"/>
    <w:rsid w:val="000E0B18"/>
    <w:rsid w:val="000E1558"/>
    <w:rsid w:val="000E2E54"/>
    <w:rsid w:val="000E3101"/>
    <w:rsid w:val="000E457D"/>
    <w:rsid w:val="000E5431"/>
    <w:rsid w:val="000E7C55"/>
    <w:rsid w:val="000F19F2"/>
    <w:rsid w:val="000F44D8"/>
    <w:rsid w:val="000F46F0"/>
    <w:rsid w:val="000F4CAA"/>
    <w:rsid w:val="000F5428"/>
    <w:rsid w:val="000F7285"/>
    <w:rsid w:val="000F7692"/>
    <w:rsid w:val="000F7912"/>
    <w:rsid w:val="00100B69"/>
    <w:rsid w:val="00102FAD"/>
    <w:rsid w:val="00104BB4"/>
    <w:rsid w:val="00106B9E"/>
    <w:rsid w:val="001077C5"/>
    <w:rsid w:val="001106A9"/>
    <w:rsid w:val="00112F91"/>
    <w:rsid w:val="00112FEF"/>
    <w:rsid w:val="00113CAA"/>
    <w:rsid w:val="00116C3E"/>
    <w:rsid w:val="001215D4"/>
    <w:rsid w:val="001230CF"/>
    <w:rsid w:val="00123951"/>
    <w:rsid w:val="00123FA1"/>
    <w:rsid w:val="00124520"/>
    <w:rsid w:val="00125149"/>
    <w:rsid w:val="001271B1"/>
    <w:rsid w:val="00132ACD"/>
    <w:rsid w:val="00133A62"/>
    <w:rsid w:val="00135920"/>
    <w:rsid w:val="00137627"/>
    <w:rsid w:val="00137FC0"/>
    <w:rsid w:val="00141C87"/>
    <w:rsid w:val="00143787"/>
    <w:rsid w:val="00143E85"/>
    <w:rsid w:val="001443CE"/>
    <w:rsid w:val="00147875"/>
    <w:rsid w:val="001500DD"/>
    <w:rsid w:val="00153F78"/>
    <w:rsid w:val="00155391"/>
    <w:rsid w:val="001554E6"/>
    <w:rsid w:val="0015699F"/>
    <w:rsid w:val="001576C9"/>
    <w:rsid w:val="00157C42"/>
    <w:rsid w:val="00160098"/>
    <w:rsid w:val="001601AA"/>
    <w:rsid w:val="00162C72"/>
    <w:rsid w:val="0016476B"/>
    <w:rsid w:val="0016531D"/>
    <w:rsid w:val="00166A29"/>
    <w:rsid w:val="00167A20"/>
    <w:rsid w:val="0017227B"/>
    <w:rsid w:val="001728D7"/>
    <w:rsid w:val="001761C9"/>
    <w:rsid w:val="00180DAF"/>
    <w:rsid w:val="00182ED1"/>
    <w:rsid w:val="00185525"/>
    <w:rsid w:val="00185EC5"/>
    <w:rsid w:val="00186AFD"/>
    <w:rsid w:val="001875C7"/>
    <w:rsid w:val="0018785B"/>
    <w:rsid w:val="001902E2"/>
    <w:rsid w:val="0019253A"/>
    <w:rsid w:val="00193134"/>
    <w:rsid w:val="00194878"/>
    <w:rsid w:val="00194B46"/>
    <w:rsid w:val="00195CF7"/>
    <w:rsid w:val="00197188"/>
    <w:rsid w:val="00197625"/>
    <w:rsid w:val="001A0104"/>
    <w:rsid w:val="001A27B9"/>
    <w:rsid w:val="001A4BA4"/>
    <w:rsid w:val="001A4EBB"/>
    <w:rsid w:val="001A606B"/>
    <w:rsid w:val="001A684D"/>
    <w:rsid w:val="001A727F"/>
    <w:rsid w:val="001A742B"/>
    <w:rsid w:val="001B0E78"/>
    <w:rsid w:val="001B2183"/>
    <w:rsid w:val="001B2ADB"/>
    <w:rsid w:val="001B5396"/>
    <w:rsid w:val="001B55A7"/>
    <w:rsid w:val="001B634A"/>
    <w:rsid w:val="001B7B7A"/>
    <w:rsid w:val="001C045D"/>
    <w:rsid w:val="001C0460"/>
    <w:rsid w:val="001C5AB2"/>
    <w:rsid w:val="001C67A1"/>
    <w:rsid w:val="001C67A7"/>
    <w:rsid w:val="001C7690"/>
    <w:rsid w:val="001C7F9B"/>
    <w:rsid w:val="001D051F"/>
    <w:rsid w:val="001D0711"/>
    <w:rsid w:val="001D1C28"/>
    <w:rsid w:val="001D206E"/>
    <w:rsid w:val="001D45F8"/>
    <w:rsid w:val="001D568E"/>
    <w:rsid w:val="001D598D"/>
    <w:rsid w:val="001D6EEC"/>
    <w:rsid w:val="001D7755"/>
    <w:rsid w:val="001D776D"/>
    <w:rsid w:val="001D7E10"/>
    <w:rsid w:val="001E0D8E"/>
    <w:rsid w:val="001E1930"/>
    <w:rsid w:val="001E2717"/>
    <w:rsid w:val="001E2CF9"/>
    <w:rsid w:val="001E33A5"/>
    <w:rsid w:val="001E4E5E"/>
    <w:rsid w:val="001E633F"/>
    <w:rsid w:val="001E6C38"/>
    <w:rsid w:val="001E73F2"/>
    <w:rsid w:val="001F2E86"/>
    <w:rsid w:val="001F36D2"/>
    <w:rsid w:val="001F521B"/>
    <w:rsid w:val="001F6DED"/>
    <w:rsid w:val="001F7299"/>
    <w:rsid w:val="001F7A81"/>
    <w:rsid w:val="00200008"/>
    <w:rsid w:val="00200091"/>
    <w:rsid w:val="002004E2"/>
    <w:rsid w:val="00201008"/>
    <w:rsid w:val="00202813"/>
    <w:rsid w:val="00202F06"/>
    <w:rsid w:val="0020489A"/>
    <w:rsid w:val="0020497C"/>
    <w:rsid w:val="00204AAA"/>
    <w:rsid w:val="00206248"/>
    <w:rsid w:val="00206637"/>
    <w:rsid w:val="00206A97"/>
    <w:rsid w:val="00206ACF"/>
    <w:rsid w:val="00207640"/>
    <w:rsid w:val="00210CFF"/>
    <w:rsid w:val="0021277E"/>
    <w:rsid w:val="00212D36"/>
    <w:rsid w:val="0021313B"/>
    <w:rsid w:val="00213C30"/>
    <w:rsid w:val="002148C7"/>
    <w:rsid w:val="002154A5"/>
    <w:rsid w:val="002163AA"/>
    <w:rsid w:val="00216AA3"/>
    <w:rsid w:val="00217702"/>
    <w:rsid w:val="00217DC1"/>
    <w:rsid w:val="002206D6"/>
    <w:rsid w:val="0022109F"/>
    <w:rsid w:val="002221FC"/>
    <w:rsid w:val="00224A14"/>
    <w:rsid w:val="00225429"/>
    <w:rsid w:val="002276E8"/>
    <w:rsid w:val="0023060F"/>
    <w:rsid w:val="00230823"/>
    <w:rsid w:val="00231212"/>
    <w:rsid w:val="00232AA4"/>
    <w:rsid w:val="00233225"/>
    <w:rsid w:val="00234D1B"/>
    <w:rsid w:val="00235E00"/>
    <w:rsid w:val="00236525"/>
    <w:rsid w:val="00237122"/>
    <w:rsid w:val="00237A07"/>
    <w:rsid w:val="002408FC"/>
    <w:rsid w:val="00245052"/>
    <w:rsid w:val="0024596F"/>
    <w:rsid w:val="00246243"/>
    <w:rsid w:val="00247877"/>
    <w:rsid w:val="0025242A"/>
    <w:rsid w:val="00253A84"/>
    <w:rsid w:val="00254842"/>
    <w:rsid w:val="00255C9C"/>
    <w:rsid w:val="00260233"/>
    <w:rsid w:val="00262416"/>
    <w:rsid w:val="00262A68"/>
    <w:rsid w:val="002730AB"/>
    <w:rsid w:val="0027447B"/>
    <w:rsid w:val="00275558"/>
    <w:rsid w:val="00276116"/>
    <w:rsid w:val="00276444"/>
    <w:rsid w:val="002775C8"/>
    <w:rsid w:val="002814F1"/>
    <w:rsid w:val="00282285"/>
    <w:rsid w:val="00284006"/>
    <w:rsid w:val="002842DB"/>
    <w:rsid w:val="0028796A"/>
    <w:rsid w:val="002913A8"/>
    <w:rsid w:val="0029252D"/>
    <w:rsid w:val="002929B6"/>
    <w:rsid w:val="00292D67"/>
    <w:rsid w:val="00292EAD"/>
    <w:rsid w:val="0029742B"/>
    <w:rsid w:val="002A139F"/>
    <w:rsid w:val="002A1C83"/>
    <w:rsid w:val="002A1F3E"/>
    <w:rsid w:val="002A2A7A"/>
    <w:rsid w:val="002A2FC3"/>
    <w:rsid w:val="002A35CA"/>
    <w:rsid w:val="002A4092"/>
    <w:rsid w:val="002A590C"/>
    <w:rsid w:val="002A70DD"/>
    <w:rsid w:val="002A79BD"/>
    <w:rsid w:val="002B2D43"/>
    <w:rsid w:val="002B357C"/>
    <w:rsid w:val="002B58BA"/>
    <w:rsid w:val="002B629F"/>
    <w:rsid w:val="002B6A35"/>
    <w:rsid w:val="002C0BD8"/>
    <w:rsid w:val="002C124E"/>
    <w:rsid w:val="002C1D21"/>
    <w:rsid w:val="002C2181"/>
    <w:rsid w:val="002C3447"/>
    <w:rsid w:val="002C3C8F"/>
    <w:rsid w:val="002C4060"/>
    <w:rsid w:val="002C475E"/>
    <w:rsid w:val="002C53F3"/>
    <w:rsid w:val="002C583E"/>
    <w:rsid w:val="002C59BA"/>
    <w:rsid w:val="002C5BBF"/>
    <w:rsid w:val="002C6BC2"/>
    <w:rsid w:val="002C74EB"/>
    <w:rsid w:val="002C76B4"/>
    <w:rsid w:val="002D0152"/>
    <w:rsid w:val="002D029C"/>
    <w:rsid w:val="002D2780"/>
    <w:rsid w:val="002D316C"/>
    <w:rsid w:val="002D3862"/>
    <w:rsid w:val="002D3C2B"/>
    <w:rsid w:val="002D61E5"/>
    <w:rsid w:val="002D7035"/>
    <w:rsid w:val="002D73F4"/>
    <w:rsid w:val="002E45D7"/>
    <w:rsid w:val="002E4EE8"/>
    <w:rsid w:val="002E50FE"/>
    <w:rsid w:val="002E58BA"/>
    <w:rsid w:val="002E5C9B"/>
    <w:rsid w:val="002E71B3"/>
    <w:rsid w:val="002E7EAA"/>
    <w:rsid w:val="002F1B66"/>
    <w:rsid w:val="002F38B1"/>
    <w:rsid w:val="002F3AFC"/>
    <w:rsid w:val="002F4377"/>
    <w:rsid w:val="002F46B3"/>
    <w:rsid w:val="002F63E7"/>
    <w:rsid w:val="00300975"/>
    <w:rsid w:val="00300EE8"/>
    <w:rsid w:val="003017D1"/>
    <w:rsid w:val="00301B9C"/>
    <w:rsid w:val="00301FBB"/>
    <w:rsid w:val="003032E1"/>
    <w:rsid w:val="00303FB8"/>
    <w:rsid w:val="0030536E"/>
    <w:rsid w:val="003074C3"/>
    <w:rsid w:val="00307B92"/>
    <w:rsid w:val="00310DED"/>
    <w:rsid w:val="0031152F"/>
    <w:rsid w:val="003125D1"/>
    <w:rsid w:val="003154CE"/>
    <w:rsid w:val="00315F7E"/>
    <w:rsid w:val="003179C5"/>
    <w:rsid w:val="00317EDD"/>
    <w:rsid w:val="00321D9B"/>
    <w:rsid w:val="00322BE0"/>
    <w:rsid w:val="00322E79"/>
    <w:rsid w:val="00323BBD"/>
    <w:rsid w:val="003243AA"/>
    <w:rsid w:val="003246FC"/>
    <w:rsid w:val="00324FA9"/>
    <w:rsid w:val="00330DD2"/>
    <w:rsid w:val="00331C68"/>
    <w:rsid w:val="00333E2C"/>
    <w:rsid w:val="0033490B"/>
    <w:rsid w:val="003351E5"/>
    <w:rsid w:val="003356B9"/>
    <w:rsid w:val="0033575E"/>
    <w:rsid w:val="00336219"/>
    <w:rsid w:val="003366A1"/>
    <w:rsid w:val="00336C5D"/>
    <w:rsid w:val="00336F80"/>
    <w:rsid w:val="00340198"/>
    <w:rsid w:val="003408D0"/>
    <w:rsid w:val="00342321"/>
    <w:rsid w:val="00343154"/>
    <w:rsid w:val="00345B3D"/>
    <w:rsid w:val="00346ADC"/>
    <w:rsid w:val="00347326"/>
    <w:rsid w:val="0035042F"/>
    <w:rsid w:val="00350448"/>
    <w:rsid w:val="0035265F"/>
    <w:rsid w:val="00352986"/>
    <w:rsid w:val="00353608"/>
    <w:rsid w:val="0035452B"/>
    <w:rsid w:val="00354D53"/>
    <w:rsid w:val="00354D70"/>
    <w:rsid w:val="00356E61"/>
    <w:rsid w:val="003607CB"/>
    <w:rsid w:val="00363B23"/>
    <w:rsid w:val="003646E3"/>
    <w:rsid w:val="00364FC9"/>
    <w:rsid w:val="00364FFD"/>
    <w:rsid w:val="00370060"/>
    <w:rsid w:val="003703AB"/>
    <w:rsid w:val="00372222"/>
    <w:rsid w:val="00372E26"/>
    <w:rsid w:val="003768D2"/>
    <w:rsid w:val="00376A5D"/>
    <w:rsid w:val="00377AB0"/>
    <w:rsid w:val="00380198"/>
    <w:rsid w:val="003802F7"/>
    <w:rsid w:val="003819E9"/>
    <w:rsid w:val="00382135"/>
    <w:rsid w:val="00382A04"/>
    <w:rsid w:val="00382CDC"/>
    <w:rsid w:val="00383769"/>
    <w:rsid w:val="00384252"/>
    <w:rsid w:val="003904AE"/>
    <w:rsid w:val="00391EC5"/>
    <w:rsid w:val="00391FD9"/>
    <w:rsid w:val="00392379"/>
    <w:rsid w:val="003939E9"/>
    <w:rsid w:val="003971B3"/>
    <w:rsid w:val="00397E29"/>
    <w:rsid w:val="003A1B6E"/>
    <w:rsid w:val="003A3142"/>
    <w:rsid w:val="003A59CB"/>
    <w:rsid w:val="003A5E26"/>
    <w:rsid w:val="003A6D7B"/>
    <w:rsid w:val="003A7473"/>
    <w:rsid w:val="003A776F"/>
    <w:rsid w:val="003A7F34"/>
    <w:rsid w:val="003B3B07"/>
    <w:rsid w:val="003B5D1A"/>
    <w:rsid w:val="003B5F4B"/>
    <w:rsid w:val="003B6799"/>
    <w:rsid w:val="003B71C6"/>
    <w:rsid w:val="003C24C0"/>
    <w:rsid w:val="003C2BA2"/>
    <w:rsid w:val="003C3814"/>
    <w:rsid w:val="003C4237"/>
    <w:rsid w:val="003C7360"/>
    <w:rsid w:val="003D272E"/>
    <w:rsid w:val="003D2FCE"/>
    <w:rsid w:val="003D7D7E"/>
    <w:rsid w:val="003E0ABB"/>
    <w:rsid w:val="003E0E45"/>
    <w:rsid w:val="003E2CD1"/>
    <w:rsid w:val="003E2F3E"/>
    <w:rsid w:val="003E324B"/>
    <w:rsid w:val="003E3A82"/>
    <w:rsid w:val="003E5244"/>
    <w:rsid w:val="003E6208"/>
    <w:rsid w:val="003E6922"/>
    <w:rsid w:val="003E7783"/>
    <w:rsid w:val="003E7D2C"/>
    <w:rsid w:val="003F0D52"/>
    <w:rsid w:val="003F156D"/>
    <w:rsid w:val="003F1D20"/>
    <w:rsid w:val="003F2843"/>
    <w:rsid w:val="003F2DD4"/>
    <w:rsid w:val="003F2DFD"/>
    <w:rsid w:val="003F31A6"/>
    <w:rsid w:val="003F70BC"/>
    <w:rsid w:val="00401559"/>
    <w:rsid w:val="00402F25"/>
    <w:rsid w:val="00403341"/>
    <w:rsid w:val="00403918"/>
    <w:rsid w:val="00403EFF"/>
    <w:rsid w:val="004051CA"/>
    <w:rsid w:val="00410039"/>
    <w:rsid w:val="004127C4"/>
    <w:rsid w:val="00413AB7"/>
    <w:rsid w:val="00414C19"/>
    <w:rsid w:val="004163BC"/>
    <w:rsid w:val="00416A60"/>
    <w:rsid w:val="004208D7"/>
    <w:rsid w:val="004227FB"/>
    <w:rsid w:val="00423243"/>
    <w:rsid w:val="00424BFC"/>
    <w:rsid w:val="00424CC0"/>
    <w:rsid w:val="0042559C"/>
    <w:rsid w:val="00427844"/>
    <w:rsid w:val="00430C42"/>
    <w:rsid w:val="004310A9"/>
    <w:rsid w:val="0043184A"/>
    <w:rsid w:val="00431EFD"/>
    <w:rsid w:val="0043223B"/>
    <w:rsid w:val="004337AF"/>
    <w:rsid w:val="0043480A"/>
    <w:rsid w:val="00434F58"/>
    <w:rsid w:val="00437931"/>
    <w:rsid w:val="00441703"/>
    <w:rsid w:val="00441ED2"/>
    <w:rsid w:val="00442BE7"/>
    <w:rsid w:val="00443035"/>
    <w:rsid w:val="00444CA5"/>
    <w:rsid w:val="00445820"/>
    <w:rsid w:val="0044686E"/>
    <w:rsid w:val="00450297"/>
    <w:rsid w:val="00452FD2"/>
    <w:rsid w:val="00454498"/>
    <w:rsid w:val="00455C8C"/>
    <w:rsid w:val="00457030"/>
    <w:rsid w:val="00457B76"/>
    <w:rsid w:val="00460695"/>
    <w:rsid w:val="004614D9"/>
    <w:rsid w:val="00462E3E"/>
    <w:rsid w:val="00465235"/>
    <w:rsid w:val="00465628"/>
    <w:rsid w:val="00467353"/>
    <w:rsid w:val="00473067"/>
    <w:rsid w:val="00473650"/>
    <w:rsid w:val="00473CDC"/>
    <w:rsid w:val="0047449C"/>
    <w:rsid w:val="00474A3B"/>
    <w:rsid w:val="0047790F"/>
    <w:rsid w:val="00477E68"/>
    <w:rsid w:val="00480253"/>
    <w:rsid w:val="00480AD7"/>
    <w:rsid w:val="00483A6B"/>
    <w:rsid w:val="00484854"/>
    <w:rsid w:val="0049099B"/>
    <w:rsid w:val="00490CBD"/>
    <w:rsid w:val="004911D1"/>
    <w:rsid w:val="00491C2D"/>
    <w:rsid w:val="00491C81"/>
    <w:rsid w:val="00493278"/>
    <w:rsid w:val="00493B55"/>
    <w:rsid w:val="00495520"/>
    <w:rsid w:val="004A0F91"/>
    <w:rsid w:val="004A111F"/>
    <w:rsid w:val="004A2845"/>
    <w:rsid w:val="004A3097"/>
    <w:rsid w:val="004A3E21"/>
    <w:rsid w:val="004A4B04"/>
    <w:rsid w:val="004A4DE6"/>
    <w:rsid w:val="004B1405"/>
    <w:rsid w:val="004B175C"/>
    <w:rsid w:val="004B2205"/>
    <w:rsid w:val="004B62C7"/>
    <w:rsid w:val="004B73F7"/>
    <w:rsid w:val="004C1B1A"/>
    <w:rsid w:val="004C2D66"/>
    <w:rsid w:val="004C4A90"/>
    <w:rsid w:val="004C4D39"/>
    <w:rsid w:val="004C65F0"/>
    <w:rsid w:val="004C664E"/>
    <w:rsid w:val="004D1B99"/>
    <w:rsid w:val="004D2A8C"/>
    <w:rsid w:val="004D2B92"/>
    <w:rsid w:val="004D493E"/>
    <w:rsid w:val="004D4D35"/>
    <w:rsid w:val="004D5299"/>
    <w:rsid w:val="004D592E"/>
    <w:rsid w:val="004D5EE4"/>
    <w:rsid w:val="004D7AB3"/>
    <w:rsid w:val="004D7D39"/>
    <w:rsid w:val="004E04EE"/>
    <w:rsid w:val="004E0E84"/>
    <w:rsid w:val="004E1B3A"/>
    <w:rsid w:val="004E5D36"/>
    <w:rsid w:val="004E65CC"/>
    <w:rsid w:val="004F0D1E"/>
    <w:rsid w:val="004F12F4"/>
    <w:rsid w:val="004F2029"/>
    <w:rsid w:val="004F25D0"/>
    <w:rsid w:val="004F41C4"/>
    <w:rsid w:val="004F549D"/>
    <w:rsid w:val="004F6081"/>
    <w:rsid w:val="004F66BC"/>
    <w:rsid w:val="004F7C22"/>
    <w:rsid w:val="004F7FF7"/>
    <w:rsid w:val="005009F0"/>
    <w:rsid w:val="00501B6F"/>
    <w:rsid w:val="00503148"/>
    <w:rsid w:val="0050357F"/>
    <w:rsid w:val="005038EC"/>
    <w:rsid w:val="0050408B"/>
    <w:rsid w:val="005049FC"/>
    <w:rsid w:val="005051D2"/>
    <w:rsid w:val="00506895"/>
    <w:rsid w:val="00506B4B"/>
    <w:rsid w:val="00507507"/>
    <w:rsid w:val="005079D6"/>
    <w:rsid w:val="00510388"/>
    <w:rsid w:val="00512886"/>
    <w:rsid w:val="005177AF"/>
    <w:rsid w:val="0052013F"/>
    <w:rsid w:val="005212B6"/>
    <w:rsid w:val="0052130E"/>
    <w:rsid w:val="00521C15"/>
    <w:rsid w:val="00521C43"/>
    <w:rsid w:val="00522958"/>
    <w:rsid w:val="00526047"/>
    <w:rsid w:val="00527294"/>
    <w:rsid w:val="00527AAF"/>
    <w:rsid w:val="00530976"/>
    <w:rsid w:val="00530B18"/>
    <w:rsid w:val="00530BC3"/>
    <w:rsid w:val="00530EF0"/>
    <w:rsid w:val="005312C0"/>
    <w:rsid w:val="00531DEE"/>
    <w:rsid w:val="0053227D"/>
    <w:rsid w:val="00532C6B"/>
    <w:rsid w:val="00535A52"/>
    <w:rsid w:val="00542249"/>
    <w:rsid w:val="005426FE"/>
    <w:rsid w:val="005429BA"/>
    <w:rsid w:val="00544723"/>
    <w:rsid w:val="00544D55"/>
    <w:rsid w:val="0054608A"/>
    <w:rsid w:val="00546D72"/>
    <w:rsid w:val="005474B5"/>
    <w:rsid w:val="00547555"/>
    <w:rsid w:val="00550439"/>
    <w:rsid w:val="0055420A"/>
    <w:rsid w:val="00554854"/>
    <w:rsid w:val="0055667F"/>
    <w:rsid w:val="0055701C"/>
    <w:rsid w:val="0056079D"/>
    <w:rsid w:val="005616A5"/>
    <w:rsid w:val="00562E96"/>
    <w:rsid w:val="00562ED7"/>
    <w:rsid w:val="00563DDF"/>
    <w:rsid w:val="005659CE"/>
    <w:rsid w:val="005667AB"/>
    <w:rsid w:val="00570338"/>
    <w:rsid w:val="00570BF4"/>
    <w:rsid w:val="00571BB0"/>
    <w:rsid w:val="00572303"/>
    <w:rsid w:val="00572579"/>
    <w:rsid w:val="00572F84"/>
    <w:rsid w:val="0057424F"/>
    <w:rsid w:val="005757B0"/>
    <w:rsid w:val="005808D2"/>
    <w:rsid w:val="00580994"/>
    <w:rsid w:val="00580CAB"/>
    <w:rsid w:val="005810EB"/>
    <w:rsid w:val="00581C3E"/>
    <w:rsid w:val="005829FD"/>
    <w:rsid w:val="005831DD"/>
    <w:rsid w:val="00584C28"/>
    <w:rsid w:val="00585B77"/>
    <w:rsid w:val="005860D8"/>
    <w:rsid w:val="005862AC"/>
    <w:rsid w:val="0059202C"/>
    <w:rsid w:val="00592055"/>
    <w:rsid w:val="00592594"/>
    <w:rsid w:val="00593101"/>
    <w:rsid w:val="00593B63"/>
    <w:rsid w:val="00593D25"/>
    <w:rsid w:val="00594A06"/>
    <w:rsid w:val="00595162"/>
    <w:rsid w:val="00595AB7"/>
    <w:rsid w:val="005964AC"/>
    <w:rsid w:val="00596DB8"/>
    <w:rsid w:val="0059726E"/>
    <w:rsid w:val="005A0220"/>
    <w:rsid w:val="005A0734"/>
    <w:rsid w:val="005A07BD"/>
    <w:rsid w:val="005A0F99"/>
    <w:rsid w:val="005A2E57"/>
    <w:rsid w:val="005A51E8"/>
    <w:rsid w:val="005A5C21"/>
    <w:rsid w:val="005A7961"/>
    <w:rsid w:val="005A79F3"/>
    <w:rsid w:val="005B03CC"/>
    <w:rsid w:val="005B03EA"/>
    <w:rsid w:val="005B07B9"/>
    <w:rsid w:val="005B2AF3"/>
    <w:rsid w:val="005B6035"/>
    <w:rsid w:val="005B6A1C"/>
    <w:rsid w:val="005B76FF"/>
    <w:rsid w:val="005B7BD0"/>
    <w:rsid w:val="005C1D8D"/>
    <w:rsid w:val="005C3DDC"/>
    <w:rsid w:val="005C3FCF"/>
    <w:rsid w:val="005C558C"/>
    <w:rsid w:val="005C70A3"/>
    <w:rsid w:val="005D0881"/>
    <w:rsid w:val="005D0FF4"/>
    <w:rsid w:val="005D2506"/>
    <w:rsid w:val="005D3130"/>
    <w:rsid w:val="005D5889"/>
    <w:rsid w:val="005D691F"/>
    <w:rsid w:val="005E16A6"/>
    <w:rsid w:val="005E267A"/>
    <w:rsid w:val="005E30E6"/>
    <w:rsid w:val="005E3566"/>
    <w:rsid w:val="005E4455"/>
    <w:rsid w:val="005E66A4"/>
    <w:rsid w:val="005E6AE8"/>
    <w:rsid w:val="005E7DD9"/>
    <w:rsid w:val="005F1891"/>
    <w:rsid w:val="005F34C8"/>
    <w:rsid w:val="005F49BC"/>
    <w:rsid w:val="005F5FD3"/>
    <w:rsid w:val="006001AB"/>
    <w:rsid w:val="006009B8"/>
    <w:rsid w:val="00603691"/>
    <w:rsid w:val="00607A06"/>
    <w:rsid w:val="00610BDF"/>
    <w:rsid w:val="00610C35"/>
    <w:rsid w:val="006121E3"/>
    <w:rsid w:val="00612485"/>
    <w:rsid w:val="006125E0"/>
    <w:rsid w:val="00613784"/>
    <w:rsid w:val="00613E7E"/>
    <w:rsid w:val="006140C1"/>
    <w:rsid w:val="00614E75"/>
    <w:rsid w:val="006156BA"/>
    <w:rsid w:val="006157CE"/>
    <w:rsid w:val="00615856"/>
    <w:rsid w:val="00615C5C"/>
    <w:rsid w:val="0061606A"/>
    <w:rsid w:val="006166B1"/>
    <w:rsid w:val="00616B66"/>
    <w:rsid w:val="00617AC1"/>
    <w:rsid w:val="00620B4F"/>
    <w:rsid w:val="00620EA9"/>
    <w:rsid w:val="00622D8E"/>
    <w:rsid w:val="00622F94"/>
    <w:rsid w:val="006252CA"/>
    <w:rsid w:val="006258E3"/>
    <w:rsid w:val="00626137"/>
    <w:rsid w:val="00626241"/>
    <w:rsid w:val="00627F42"/>
    <w:rsid w:val="00630046"/>
    <w:rsid w:val="00630CE8"/>
    <w:rsid w:val="00631FFA"/>
    <w:rsid w:val="00633992"/>
    <w:rsid w:val="00633E34"/>
    <w:rsid w:val="006345F8"/>
    <w:rsid w:val="00634DAB"/>
    <w:rsid w:val="00635779"/>
    <w:rsid w:val="006364E6"/>
    <w:rsid w:val="0063738D"/>
    <w:rsid w:val="006379A8"/>
    <w:rsid w:val="00640303"/>
    <w:rsid w:val="0064073C"/>
    <w:rsid w:val="00641349"/>
    <w:rsid w:val="006428F0"/>
    <w:rsid w:val="0064352D"/>
    <w:rsid w:val="00643672"/>
    <w:rsid w:val="00643F75"/>
    <w:rsid w:val="00644C28"/>
    <w:rsid w:val="006454B4"/>
    <w:rsid w:val="006454C3"/>
    <w:rsid w:val="00646C06"/>
    <w:rsid w:val="00647BD7"/>
    <w:rsid w:val="00650392"/>
    <w:rsid w:val="006507BB"/>
    <w:rsid w:val="00652C6A"/>
    <w:rsid w:val="00653BCF"/>
    <w:rsid w:val="00654D58"/>
    <w:rsid w:val="006557F3"/>
    <w:rsid w:val="00657BEF"/>
    <w:rsid w:val="006606B2"/>
    <w:rsid w:val="00660A25"/>
    <w:rsid w:val="0066144E"/>
    <w:rsid w:val="006627F6"/>
    <w:rsid w:val="00664191"/>
    <w:rsid w:val="00665CFE"/>
    <w:rsid w:val="00666869"/>
    <w:rsid w:val="00666E04"/>
    <w:rsid w:val="00673729"/>
    <w:rsid w:val="00677538"/>
    <w:rsid w:val="006776A5"/>
    <w:rsid w:val="00680707"/>
    <w:rsid w:val="0068279F"/>
    <w:rsid w:val="00682C46"/>
    <w:rsid w:val="00682E39"/>
    <w:rsid w:val="00682EF4"/>
    <w:rsid w:val="006832FA"/>
    <w:rsid w:val="0068378C"/>
    <w:rsid w:val="006837C2"/>
    <w:rsid w:val="006838A6"/>
    <w:rsid w:val="00685174"/>
    <w:rsid w:val="00686C20"/>
    <w:rsid w:val="00691329"/>
    <w:rsid w:val="006916A5"/>
    <w:rsid w:val="006928DC"/>
    <w:rsid w:val="006929E5"/>
    <w:rsid w:val="00692FE6"/>
    <w:rsid w:val="00695C7D"/>
    <w:rsid w:val="00695E38"/>
    <w:rsid w:val="006A1081"/>
    <w:rsid w:val="006A24B0"/>
    <w:rsid w:val="006A2B0D"/>
    <w:rsid w:val="006A3806"/>
    <w:rsid w:val="006B2ECD"/>
    <w:rsid w:val="006B3041"/>
    <w:rsid w:val="006B40DC"/>
    <w:rsid w:val="006B428C"/>
    <w:rsid w:val="006B4929"/>
    <w:rsid w:val="006B58DF"/>
    <w:rsid w:val="006B5AAD"/>
    <w:rsid w:val="006B73CC"/>
    <w:rsid w:val="006C014C"/>
    <w:rsid w:val="006C18B8"/>
    <w:rsid w:val="006C2062"/>
    <w:rsid w:val="006C35A0"/>
    <w:rsid w:val="006C3851"/>
    <w:rsid w:val="006C38D2"/>
    <w:rsid w:val="006C3E8F"/>
    <w:rsid w:val="006C6CE8"/>
    <w:rsid w:val="006D2C8C"/>
    <w:rsid w:val="006D528F"/>
    <w:rsid w:val="006D5C1C"/>
    <w:rsid w:val="006D6FB2"/>
    <w:rsid w:val="006E16B0"/>
    <w:rsid w:val="006E3B1A"/>
    <w:rsid w:val="006E3F51"/>
    <w:rsid w:val="006E45E4"/>
    <w:rsid w:val="006E548F"/>
    <w:rsid w:val="006E5957"/>
    <w:rsid w:val="006E6262"/>
    <w:rsid w:val="006E790A"/>
    <w:rsid w:val="006F09D8"/>
    <w:rsid w:val="006F0EF0"/>
    <w:rsid w:val="006F2ABA"/>
    <w:rsid w:val="006F4D25"/>
    <w:rsid w:val="006F56CF"/>
    <w:rsid w:val="006F6472"/>
    <w:rsid w:val="006F6C25"/>
    <w:rsid w:val="006F7609"/>
    <w:rsid w:val="00700277"/>
    <w:rsid w:val="007015D3"/>
    <w:rsid w:val="00703B8E"/>
    <w:rsid w:val="00703BBE"/>
    <w:rsid w:val="00704056"/>
    <w:rsid w:val="00704C9D"/>
    <w:rsid w:val="00705C48"/>
    <w:rsid w:val="00706805"/>
    <w:rsid w:val="007071E4"/>
    <w:rsid w:val="00707200"/>
    <w:rsid w:val="007113C8"/>
    <w:rsid w:val="0071167B"/>
    <w:rsid w:val="00712E16"/>
    <w:rsid w:val="00713740"/>
    <w:rsid w:val="00714053"/>
    <w:rsid w:val="0071427E"/>
    <w:rsid w:val="007142B2"/>
    <w:rsid w:val="00715445"/>
    <w:rsid w:val="0071567C"/>
    <w:rsid w:val="0071570F"/>
    <w:rsid w:val="00715C66"/>
    <w:rsid w:val="007160B6"/>
    <w:rsid w:val="00716E24"/>
    <w:rsid w:val="00720430"/>
    <w:rsid w:val="00720A51"/>
    <w:rsid w:val="00720B1D"/>
    <w:rsid w:val="00720FE3"/>
    <w:rsid w:val="00722162"/>
    <w:rsid w:val="00722874"/>
    <w:rsid w:val="007234F2"/>
    <w:rsid w:val="007240A2"/>
    <w:rsid w:val="0072609E"/>
    <w:rsid w:val="00727667"/>
    <w:rsid w:val="00727C90"/>
    <w:rsid w:val="0073207F"/>
    <w:rsid w:val="00732649"/>
    <w:rsid w:val="00732A7D"/>
    <w:rsid w:val="00733006"/>
    <w:rsid w:val="00733A21"/>
    <w:rsid w:val="00733FA2"/>
    <w:rsid w:val="00734CE4"/>
    <w:rsid w:val="00735D76"/>
    <w:rsid w:val="00736608"/>
    <w:rsid w:val="007369BD"/>
    <w:rsid w:val="007374C8"/>
    <w:rsid w:val="007374F2"/>
    <w:rsid w:val="007404D0"/>
    <w:rsid w:val="00740D31"/>
    <w:rsid w:val="00740DCD"/>
    <w:rsid w:val="00740F3B"/>
    <w:rsid w:val="00741560"/>
    <w:rsid w:val="00741969"/>
    <w:rsid w:val="00741B91"/>
    <w:rsid w:val="00743233"/>
    <w:rsid w:val="007446A4"/>
    <w:rsid w:val="00744838"/>
    <w:rsid w:val="007469DF"/>
    <w:rsid w:val="00747622"/>
    <w:rsid w:val="00747D0B"/>
    <w:rsid w:val="00751DCF"/>
    <w:rsid w:val="00753740"/>
    <w:rsid w:val="00754E8C"/>
    <w:rsid w:val="00755372"/>
    <w:rsid w:val="007559B2"/>
    <w:rsid w:val="00755D96"/>
    <w:rsid w:val="007563F1"/>
    <w:rsid w:val="00756CB2"/>
    <w:rsid w:val="00757E4C"/>
    <w:rsid w:val="0076006A"/>
    <w:rsid w:val="007602BC"/>
    <w:rsid w:val="007608C1"/>
    <w:rsid w:val="00761C74"/>
    <w:rsid w:val="00761EAC"/>
    <w:rsid w:val="00762D19"/>
    <w:rsid w:val="00763128"/>
    <w:rsid w:val="00764E67"/>
    <w:rsid w:val="007650CF"/>
    <w:rsid w:val="0076586E"/>
    <w:rsid w:val="00765B92"/>
    <w:rsid w:val="0076613C"/>
    <w:rsid w:val="007675F2"/>
    <w:rsid w:val="00767CD0"/>
    <w:rsid w:val="007711A4"/>
    <w:rsid w:val="00772687"/>
    <w:rsid w:val="00772694"/>
    <w:rsid w:val="0077282E"/>
    <w:rsid w:val="007740D7"/>
    <w:rsid w:val="0077536D"/>
    <w:rsid w:val="0077624E"/>
    <w:rsid w:val="00776366"/>
    <w:rsid w:val="00776949"/>
    <w:rsid w:val="00777E1B"/>
    <w:rsid w:val="00780509"/>
    <w:rsid w:val="00781D18"/>
    <w:rsid w:val="0078222F"/>
    <w:rsid w:val="007830C4"/>
    <w:rsid w:val="00783D4D"/>
    <w:rsid w:val="00785C12"/>
    <w:rsid w:val="00786D50"/>
    <w:rsid w:val="00787F2C"/>
    <w:rsid w:val="007907C5"/>
    <w:rsid w:val="007929C7"/>
    <w:rsid w:val="0079352A"/>
    <w:rsid w:val="0079521F"/>
    <w:rsid w:val="007A03A9"/>
    <w:rsid w:val="007A269F"/>
    <w:rsid w:val="007A2EE6"/>
    <w:rsid w:val="007A4C7D"/>
    <w:rsid w:val="007A66BC"/>
    <w:rsid w:val="007B0635"/>
    <w:rsid w:val="007B1C40"/>
    <w:rsid w:val="007B2BAE"/>
    <w:rsid w:val="007B3559"/>
    <w:rsid w:val="007B359B"/>
    <w:rsid w:val="007B5223"/>
    <w:rsid w:val="007B5437"/>
    <w:rsid w:val="007B5C82"/>
    <w:rsid w:val="007B6DCB"/>
    <w:rsid w:val="007B71B3"/>
    <w:rsid w:val="007B7245"/>
    <w:rsid w:val="007C08CC"/>
    <w:rsid w:val="007C09DE"/>
    <w:rsid w:val="007C101C"/>
    <w:rsid w:val="007C138F"/>
    <w:rsid w:val="007C2216"/>
    <w:rsid w:val="007C2B4A"/>
    <w:rsid w:val="007C3367"/>
    <w:rsid w:val="007C465F"/>
    <w:rsid w:val="007D2001"/>
    <w:rsid w:val="007D23FD"/>
    <w:rsid w:val="007D26EA"/>
    <w:rsid w:val="007D3B68"/>
    <w:rsid w:val="007D4FF4"/>
    <w:rsid w:val="007D5479"/>
    <w:rsid w:val="007D64B5"/>
    <w:rsid w:val="007D6BE3"/>
    <w:rsid w:val="007D6C40"/>
    <w:rsid w:val="007D7026"/>
    <w:rsid w:val="007E0D28"/>
    <w:rsid w:val="007E1D45"/>
    <w:rsid w:val="007E2626"/>
    <w:rsid w:val="007E2770"/>
    <w:rsid w:val="007E333E"/>
    <w:rsid w:val="007E597D"/>
    <w:rsid w:val="007E5D80"/>
    <w:rsid w:val="007E6015"/>
    <w:rsid w:val="007E74A0"/>
    <w:rsid w:val="007E74F2"/>
    <w:rsid w:val="007F0219"/>
    <w:rsid w:val="007F270B"/>
    <w:rsid w:val="007F33A8"/>
    <w:rsid w:val="007F3EFF"/>
    <w:rsid w:val="007F4493"/>
    <w:rsid w:val="007F476A"/>
    <w:rsid w:val="007F57F1"/>
    <w:rsid w:val="007F597D"/>
    <w:rsid w:val="007F60A7"/>
    <w:rsid w:val="007F74EA"/>
    <w:rsid w:val="007F78E5"/>
    <w:rsid w:val="00800508"/>
    <w:rsid w:val="00800D4E"/>
    <w:rsid w:val="008018AC"/>
    <w:rsid w:val="00802755"/>
    <w:rsid w:val="00802F85"/>
    <w:rsid w:val="0080429B"/>
    <w:rsid w:val="00804E07"/>
    <w:rsid w:val="00805402"/>
    <w:rsid w:val="00805B20"/>
    <w:rsid w:val="00806DD7"/>
    <w:rsid w:val="00806F9E"/>
    <w:rsid w:val="00807C2C"/>
    <w:rsid w:val="0081105C"/>
    <w:rsid w:val="008113B2"/>
    <w:rsid w:val="008118F2"/>
    <w:rsid w:val="008122CC"/>
    <w:rsid w:val="0081451B"/>
    <w:rsid w:val="00814C2F"/>
    <w:rsid w:val="00815FF5"/>
    <w:rsid w:val="00816D35"/>
    <w:rsid w:val="00816EAA"/>
    <w:rsid w:val="00817ADA"/>
    <w:rsid w:val="00817B9B"/>
    <w:rsid w:val="00817D08"/>
    <w:rsid w:val="00820108"/>
    <w:rsid w:val="00826853"/>
    <w:rsid w:val="00827C78"/>
    <w:rsid w:val="00832585"/>
    <w:rsid w:val="00833B19"/>
    <w:rsid w:val="0083449D"/>
    <w:rsid w:val="008353FA"/>
    <w:rsid w:val="00835856"/>
    <w:rsid w:val="00836534"/>
    <w:rsid w:val="0084287F"/>
    <w:rsid w:val="008435D0"/>
    <w:rsid w:val="00843ECE"/>
    <w:rsid w:val="0084401A"/>
    <w:rsid w:val="0084445F"/>
    <w:rsid w:val="0084464D"/>
    <w:rsid w:val="0084512F"/>
    <w:rsid w:val="00847332"/>
    <w:rsid w:val="00850FC1"/>
    <w:rsid w:val="00851F55"/>
    <w:rsid w:val="0085296A"/>
    <w:rsid w:val="00852995"/>
    <w:rsid w:val="0085436A"/>
    <w:rsid w:val="0085717F"/>
    <w:rsid w:val="008606C9"/>
    <w:rsid w:val="00861A6F"/>
    <w:rsid w:val="0086628D"/>
    <w:rsid w:val="00866430"/>
    <w:rsid w:val="00867362"/>
    <w:rsid w:val="00867BCC"/>
    <w:rsid w:val="0087025F"/>
    <w:rsid w:val="00870934"/>
    <w:rsid w:val="00871570"/>
    <w:rsid w:val="00871BC0"/>
    <w:rsid w:val="00872D99"/>
    <w:rsid w:val="008736E9"/>
    <w:rsid w:val="008737EE"/>
    <w:rsid w:val="00876092"/>
    <w:rsid w:val="0087636C"/>
    <w:rsid w:val="008769E4"/>
    <w:rsid w:val="00876A51"/>
    <w:rsid w:val="0087712A"/>
    <w:rsid w:val="008800AB"/>
    <w:rsid w:val="008817B0"/>
    <w:rsid w:val="0088356F"/>
    <w:rsid w:val="00885373"/>
    <w:rsid w:val="00887378"/>
    <w:rsid w:val="0088749C"/>
    <w:rsid w:val="00887EA3"/>
    <w:rsid w:val="00887EE6"/>
    <w:rsid w:val="00891AF9"/>
    <w:rsid w:val="008949AA"/>
    <w:rsid w:val="00896B94"/>
    <w:rsid w:val="008A06C5"/>
    <w:rsid w:val="008A0BE4"/>
    <w:rsid w:val="008A1F29"/>
    <w:rsid w:val="008A3ECA"/>
    <w:rsid w:val="008A40C5"/>
    <w:rsid w:val="008A4D3F"/>
    <w:rsid w:val="008A54F5"/>
    <w:rsid w:val="008A57E9"/>
    <w:rsid w:val="008B0747"/>
    <w:rsid w:val="008B12B3"/>
    <w:rsid w:val="008B4771"/>
    <w:rsid w:val="008B5FEC"/>
    <w:rsid w:val="008B612E"/>
    <w:rsid w:val="008B6D59"/>
    <w:rsid w:val="008B743C"/>
    <w:rsid w:val="008C1ECE"/>
    <w:rsid w:val="008C4637"/>
    <w:rsid w:val="008C4674"/>
    <w:rsid w:val="008C6647"/>
    <w:rsid w:val="008C6864"/>
    <w:rsid w:val="008D0BEF"/>
    <w:rsid w:val="008D1C21"/>
    <w:rsid w:val="008D1CE7"/>
    <w:rsid w:val="008D20A0"/>
    <w:rsid w:val="008D33D8"/>
    <w:rsid w:val="008D3ABA"/>
    <w:rsid w:val="008D5EAB"/>
    <w:rsid w:val="008D6427"/>
    <w:rsid w:val="008D70F4"/>
    <w:rsid w:val="008E0323"/>
    <w:rsid w:val="008E156E"/>
    <w:rsid w:val="008E20BB"/>
    <w:rsid w:val="008E3630"/>
    <w:rsid w:val="008E3828"/>
    <w:rsid w:val="008E505C"/>
    <w:rsid w:val="008E626B"/>
    <w:rsid w:val="008E6467"/>
    <w:rsid w:val="008E7927"/>
    <w:rsid w:val="008F0872"/>
    <w:rsid w:val="008F23E4"/>
    <w:rsid w:val="008F33EC"/>
    <w:rsid w:val="008F383B"/>
    <w:rsid w:val="008F511D"/>
    <w:rsid w:val="008F5BF3"/>
    <w:rsid w:val="008F798A"/>
    <w:rsid w:val="0090006D"/>
    <w:rsid w:val="00900990"/>
    <w:rsid w:val="00900AFA"/>
    <w:rsid w:val="00902619"/>
    <w:rsid w:val="00904983"/>
    <w:rsid w:val="00905B60"/>
    <w:rsid w:val="009103AE"/>
    <w:rsid w:val="00911459"/>
    <w:rsid w:val="00912287"/>
    <w:rsid w:val="00913A0E"/>
    <w:rsid w:val="009156B3"/>
    <w:rsid w:val="0091711D"/>
    <w:rsid w:val="009176FB"/>
    <w:rsid w:val="00922204"/>
    <w:rsid w:val="00923662"/>
    <w:rsid w:val="009239DD"/>
    <w:rsid w:val="00923BB9"/>
    <w:rsid w:val="009245FB"/>
    <w:rsid w:val="00924E32"/>
    <w:rsid w:val="00924E5F"/>
    <w:rsid w:val="00925894"/>
    <w:rsid w:val="00926CFA"/>
    <w:rsid w:val="00930B2B"/>
    <w:rsid w:val="00931FAC"/>
    <w:rsid w:val="00932C25"/>
    <w:rsid w:val="009331E5"/>
    <w:rsid w:val="009332DF"/>
    <w:rsid w:val="00933D64"/>
    <w:rsid w:val="009346F4"/>
    <w:rsid w:val="00937A50"/>
    <w:rsid w:val="00937AAF"/>
    <w:rsid w:val="0094125C"/>
    <w:rsid w:val="00941E6A"/>
    <w:rsid w:val="00943180"/>
    <w:rsid w:val="00943377"/>
    <w:rsid w:val="009439E7"/>
    <w:rsid w:val="00945983"/>
    <w:rsid w:val="00945B86"/>
    <w:rsid w:val="00946E5B"/>
    <w:rsid w:val="009475AE"/>
    <w:rsid w:val="00951C3C"/>
    <w:rsid w:val="00953366"/>
    <w:rsid w:val="00953EE0"/>
    <w:rsid w:val="0095452E"/>
    <w:rsid w:val="00955D42"/>
    <w:rsid w:val="00957260"/>
    <w:rsid w:val="00957BFA"/>
    <w:rsid w:val="0096091F"/>
    <w:rsid w:val="00960BCD"/>
    <w:rsid w:val="009630D8"/>
    <w:rsid w:val="0096387E"/>
    <w:rsid w:val="00963DB1"/>
    <w:rsid w:val="00965044"/>
    <w:rsid w:val="0096564A"/>
    <w:rsid w:val="0096565F"/>
    <w:rsid w:val="00965DCA"/>
    <w:rsid w:val="00967F03"/>
    <w:rsid w:val="009701AB"/>
    <w:rsid w:val="009703A0"/>
    <w:rsid w:val="009719FD"/>
    <w:rsid w:val="009728B3"/>
    <w:rsid w:val="0097402B"/>
    <w:rsid w:val="00974DDC"/>
    <w:rsid w:val="00975481"/>
    <w:rsid w:val="009808CB"/>
    <w:rsid w:val="00980A36"/>
    <w:rsid w:val="009810D3"/>
    <w:rsid w:val="00982B48"/>
    <w:rsid w:val="0098355A"/>
    <w:rsid w:val="00984351"/>
    <w:rsid w:val="00984542"/>
    <w:rsid w:val="00985531"/>
    <w:rsid w:val="00985890"/>
    <w:rsid w:val="00986E00"/>
    <w:rsid w:val="0098783C"/>
    <w:rsid w:val="00987915"/>
    <w:rsid w:val="00990C50"/>
    <w:rsid w:val="00995817"/>
    <w:rsid w:val="00995918"/>
    <w:rsid w:val="009A5B09"/>
    <w:rsid w:val="009A7106"/>
    <w:rsid w:val="009A722B"/>
    <w:rsid w:val="009A74D5"/>
    <w:rsid w:val="009A776F"/>
    <w:rsid w:val="009B0A56"/>
    <w:rsid w:val="009B11C8"/>
    <w:rsid w:val="009B2FDB"/>
    <w:rsid w:val="009B4838"/>
    <w:rsid w:val="009B5923"/>
    <w:rsid w:val="009B6553"/>
    <w:rsid w:val="009B737B"/>
    <w:rsid w:val="009C0047"/>
    <w:rsid w:val="009C0287"/>
    <w:rsid w:val="009C0332"/>
    <w:rsid w:val="009C1091"/>
    <w:rsid w:val="009C12B9"/>
    <w:rsid w:val="009C1494"/>
    <w:rsid w:val="009C2D90"/>
    <w:rsid w:val="009C448D"/>
    <w:rsid w:val="009C5EB9"/>
    <w:rsid w:val="009C5F57"/>
    <w:rsid w:val="009C5F9F"/>
    <w:rsid w:val="009D067D"/>
    <w:rsid w:val="009D1D15"/>
    <w:rsid w:val="009D29BC"/>
    <w:rsid w:val="009D2AAD"/>
    <w:rsid w:val="009D31D9"/>
    <w:rsid w:val="009D33A8"/>
    <w:rsid w:val="009D345D"/>
    <w:rsid w:val="009D370C"/>
    <w:rsid w:val="009D3955"/>
    <w:rsid w:val="009D3A3A"/>
    <w:rsid w:val="009D6C59"/>
    <w:rsid w:val="009D7AF0"/>
    <w:rsid w:val="009E47C7"/>
    <w:rsid w:val="009E6C2A"/>
    <w:rsid w:val="009F072F"/>
    <w:rsid w:val="009F0DC3"/>
    <w:rsid w:val="009F1E83"/>
    <w:rsid w:val="009F23D4"/>
    <w:rsid w:val="009F2936"/>
    <w:rsid w:val="009F2B18"/>
    <w:rsid w:val="009F2E5B"/>
    <w:rsid w:val="009F3FCD"/>
    <w:rsid w:val="009F4206"/>
    <w:rsid w:val="009F431B"/>
    <w:rsid w:val="009F5057"/>
    <w:rsid w:val="009F6F2D"/>
    <w:rsid w:val="00A00ABC"/>
    <w:rsid w:val="00A013F0"/>
    <w:rsid w:val="00A04FEE"/>
    <w:rsid w:val="00A06802"/>
    <w:rsid w:val="00A069B8"/>
    <w:rsid w:val="00A06FA6"/>
    <w:rsid w:val="00A0720B"/>
    <w:rsid w:val="00A13639"/>
    <w:rsid w:val="00A139F8"/>
    <w:rsid w:val="00A13AC6"/>
    <w:rsid w:val="00A13F3D"/>
    <w:rsid w:val="00A1487F"/>
    <w:rsid w:val="00A14F47"/>
    <w:rsid w:val="00A1670D"/>
    <w:rsid w:val="00A203FC"/>
    <w:rsid w:val="00A20597"/>
    <w:rsid w:val="00A209C7"/>
    <w:rsid w:val="00A247C8"/>
    <w:rsid w:val="00A247D5"/>
    <w:rsid w:val="00A25E20"/>
    <w:rsid w:val="00A2613D"/>
    <w:rsid w:val="00A32F75"/>
    <w:rsid w:val="00A40EB0"/>
    <w:rsid w:val="00A41AD7"/>
    <w:rsid w:val="00A41B03"/>
    <w:rsid w:val="00A41F92"/>
    <w:rsid w:val="00A426E6"/>
    <w:rsid w:val="00A441F7"/>
    <w:rsid w:val="00A45586"/>
    <w:rsid w:val="00A455A5"/>
    <w:rsid w:val="00A458A8"/>
    <w:rsid w:val="00A45C1F"/>
    <w:rsid w:val="00A47279"/>
    <w:rsid w:val="00A50447"/>
    <w:rsid w:val="00A51161"/>
    <w:rsid w:val="00A51C4B"/>
    <w:rsid w:val="00A53039"/>
    <w:rsid w:val="00A5359D"/>
    <w:rsid w:val="00A54A69"/>
    <w:rsid w:val="00A54CF9"/>
    <w:rsid w:val="00A5528C"/>
    <w:rsid w:val="00A56E40"/>
    <w:rsid w:val="00A632B9"/>
    <w:rsid w:val="00A64675"/>
    <w:rsid w:val="00A67B13"/>
    <w:rsid w:val="00A67C64"/>
    <w:rsid w:val="00A71C49"/>
    <w:rsid w:val="00A71E53"/>
    <w:rsid w:val="00A71F3C"/>
    <w:rsid w:val="00A72215"/>
    <w:rsid w:val="00A72674"/>
    <w:rsid w:val="00A73BF3"/>
    <w:rsid w:val="00A77627"/>
    <w:rsid w:val="00A803AC"/>
    <w:rsid w:val="00A808A4"/>
    <w:rsid w:val="00A808DB"/>
    <w:rsid w:val="00A81EDF"/>
    <w:rsid w:val="00A822E0"/>
    <w:rsid w:val="00A823D7"/>
    <w:rsid w:val="00A8276B"/>
    <w:rsid w:val="00A83323"/>
    <w:rsid w:val="00A848AF"/>
    <w:rsid w:val="00A8552E"/>
    <w:rsid w:val="00A85DD7"/>
    <w:rsid w:val="00A87AC4"/>
    <w:rsid w:val="00A87D23"/>
    <w:rsid w:val="00A90266"/>
    <w:rsid w:val="00A90657"/>
    <w:rsid w:val="00A91574"/>
    <w:rsid w:val="00A91B22"/>
    <w:rsid w:val="00A92807"/>
    <w:rsid w:val="00AA02BC"/>
    <w:rsid w:val="00AA1542"/>
    <w:rsid w:val="00AA1B73"/>
    <w:rsid w:val="00AA2D35"/>
    <w:rsid w:val="00AA3334"/>
    <w:rsid w:val="00AA35C9"/>
    <w:rsid w:val="00AA3FC3"/>
    <w:rsid w:val="00AA51C8"/>
    <w:rsid w:val="00AA63EB"/>
    <w:rsid w:val="00AA6759"/>
    <w:rsid w:val="00AB0C4B"/>
    <w:rsid w:val="00AB18E6"/>
    <w:rsid w:val="00AB237D"/>
    <w:rsid w:val="00AB5DEB"/>
    <w:rsid w:val="00AB6433"/>
    <w:rsid w:val="00AB6AEA"/>
    <w:rsid w:val="00AC1488"/>
    <w:rsid w:val="00AC16DB"/>
    <w:rsid w:val="00AC44DD"/>
    <w:rsid w:val="00AC621F"/>
    <w:rsid w:val="00AC68E2"/>
    <w:rsid w:val="00AC6943"/>
    <w:rsid w:val="00AD2EA0"/>
    <w:rsid w:val="00AD6BF7"/>
    <w:rsid w:val="00AD6DBE"/>
    <w:rsid w:val="00AD6E3F"/>
    <w:rsid w:val="00AD702F"/>
    <w:rsid w:val="00AD70B0"/>
    <w:rsid w:val="00AE0B7F"/>
    <w:rsid w:val="00AE4A9A"/>
    <w:rsid w:val="00AE4DE7"/>
    <w:rsid w:val="00AE4FA7"/>
    <w:rsid w:val="00AE6F40"/>
    <w:rsid w:val="00AE786E"/>
    <w:rsid w:val="00AF1E48"/>
    <w:rsid w:val="00AF1E93"/>
    <w:rsid w:val="00AF2238"/>
    <w:rsid w:val="00AF3800"/>
    <w:rsid w:val="00AF4136"/>
    <w:rsid w:val="00AF44CB"/>
    <w:rsid w:val="00AF4593"/>
    <w:rsid w:val="00AF50E5"/>
    <w:rsid w:val="00AF60FD"/>
    <w:rsid w:val="00AF7220"/>
    <w:rsid w:val="00AF7893"/>
    <w:rsid w:val="00B00D75"/>
    <w:rsid w:val="00B02857"/>
    <w:rsid w:val="00B07677"/>
    <w:rsid w:val="00B078F0"/>
    <w:rsid w:val="00B07DDC"/>
    <w:rsid w:val="00B128F6"/>
    <w:rsid w:val="00B12BC5"/>
    <w:rsid w:val="00B13F90"/>
    <w:rsid w:val="00B15140"/>
    <w:rsid w:val="00B16F30"/>
    <w:rsid w:val="00B1759A"/>
    <w:rsid w:val="00B17E33"/>
    <w:rsid w:val="00B20995"/>
    <w:rsid w:val="00B20CBA"/>
    <w:rsid w:val="00B21139"/>
    <w:rsid w:val="00B22331"/>
    <w:rsid w:val="00B23A35"/>
    <w:rsid w:val="00B25F63"/>
    <w:rsid w:val="00B276BA"/>
    <w:rsid w:val="00B31288"/>
    <w:rsid w:val="00B333CF"/>
    <w:rsid w:val="00B3508D"/>
    <w:rsid w:val="00B373F0"/>
    <w:rsid w:val="00B41A51"/>
    <w:rsid w:val="00B426C2"/>
    <w:rsid w:val="00B439BB"/>
    <w:rsid w:val="00B43F83"/>
    <w:rsid w:val="00B4627B"/>
    <w:rsid w:val="00B467D1"/>
    <w:rsid w:val="00B50192"/>
    <w:rsid w:val="00B52910"/>
    <w:rsid w:val="00B54BE7"/>
    <w:rsid w:val="00B56A78"/>
    <w:rsid w:val="00B56CAD"/>
    <w:rsid w:val="00B56D05"/>
    <w:rsid w:val="00B60030"/>
    <w:rsid w:val="00B61754"/>
    <w:rsid w:val="00B64F81"/>
    <w:rsid w:val="00B67CAB"/>
    <w:rsid w:val="00B67CC4"/>
    <w:rsid w:val="00B714FA"/>
    <w:rsid w:val="00B7181D"/>
    <w:rsid w:val="00B71DD4"/>
    <w:rsid w:val="00B72052"/>
    <w:rsid w:val="00B72865"/>
    <w:rsid w:val="00B74D08"/>
    <w:rsid w:val="00B75A47"/>
    <w:rsid w:val="00B76965"/>
    <w:rsid w:val="00B80BD6"/>
    <w:rsid w:val="00B80F58"/>
    <w:rsid w:val="00B833D0"/>
    <w:rsid w:val="00B87C02"/>
    <w:rsid w:val="00B87FE3"/>
    <w:rsid w:val="00B94BBB"/>
    <w:rsid w:val="00B96EF3"/>
    <w:rsid w:val="00BA10BB"/>
    <w:rsid w:val="00BA1692"/>
    <w:rsid w:val="00BA1F2C"/>
    <w:rsid w:val="00BA218A"/>
    <w:rsid w:val="00BA296F"/>
    <w:rsid w:val="00BA3085"/>
    <w:rsid w:val="00BA3D93"/>
    <w:rsid w:val="00BA4311"/>
    <w:rsid w:val="00BA460A"/>
    <w:rsid w:val="00BA4C70"/>
    <w:rsid w:val="00BA6573"/>
    <w:rsid w:val="00BA69A5"/>
    <w:rsid w:val="00BA7D23"/>
    <w:rsid w:val="00BB059A"/>
    <w:rsid w:val="00BB0860"/>
    <w:rsid w:val="00BB1516"/>
    <w:rsid w:val="00BB2448"/>
    <w:rsid w:val="00BB244B"/>
    <w:rsid w:val="00BB255C"/>
    <w:rsid w:val="00BB4488"/>
    <w:rsid w:val="00BB5C29"/>
    <w:rsid w:val="00BB5F13"/>
    <w:rsid w:val="00BB75F9"/>
    <w:rsid w:val="00BC028E"/>
    <w:rsid w:val="00BC093B"/>
    <w:rsid w:val="00BC0F64"/>
    <w:rsid w:val="00BC1DD5"/>
    <w:rsid w:val="00BC2243"/>
    <w:rsid w:val="00BC37AE"/>
    <w:rsid w:val="00BC4197"/>
    <w:rsid w:val="00BC4A04"/>
    <w:rsid w:val="00BC7F45"/>
    <w:rsid w:val="00BD03DE"/>
    <w:rsid w:val="00BD12CB"/>
    <w:rsid w:val="00BD15B1"/>
    <w:rsid w:val="00BD1F74"/>
    <w:rsid w:val="00BD2A27"/>
    <w:rsid w:val="00BD3A30"/>
    <w:rsid w:val="00BD44F4"/>
    <w:rsid w:val="00BD47E4"/>
    <w:rsid w:val="00BD495F"/>
    <w:rsid w:val="00BD5890"/>
    <w:rsid w:val="00BD5DE1"/>
    <w:rsid w:val="00BD68B0"/>
    <w:rsid w:val="00BD7E35"/>
    <w:rsid w:val="00BE072F"/>
    <w:rsid w:val="00BE0780"/>
    <w:rsid w:val="00BE0D02"/>
    <w:rsid w:val="00BE101B"/>
    <w:rsid w:val="00BE3072"/>
    <w:rsid w:val="00BE3469"/>
    <w:rsid w:val="00BE66BB"/>
    <w:rsid w:val="00BF17AB"/>
    <w:rsid w:val="00BF293B"/>
    <w:rsid w:val="00BF334C"/>
    <w:rsid w:val="00BF39A1"/>
    <w:rsid w:val="00BF4BD0"/>
    <w:rsid w:val="00BF4D62"/>
    <w:rsid w:val="00BF554A"/>
    <w:rsid w:val="00BF555C"/>
    <w:rsid w:val="00BF6E8F"/>
    <w:rsid w:val="00BF6F29"/>
    <w:rsid w:val="00BF70A1"/>
    <w:rsid w:val="00BF750C"/>
    <w:rsid w:val="00BF7876"/>
    <w:rsid w:val="00C00603"/>
    <w:rsid w:val="00C00A1A"/>
    <w:rsid w:val="00C00B11"/>
    <w:rsid w:val="00C011C6"/>
    <w:rsid w:val="00C01A45"/>
    <w:rsid w:val="00C01D20"/>
    <w:rsid w:val="00C05619"/>
    <w:rsid w:val="00C06622"/>
    <w:rsid w:val="00C07961"/>
    <w:rsid w:val="00C07BD1"/>
    <w:rsid w:val="00C105F6"/>
    <w:rsid w:val="00C126B0"/>
    <w:rsid w:val="00C13A8E"/>
    <w:rsid w:val="00C16CBA"/>
    <w:rsid w:val="00C176E9"/>
    <w:rsid w:val="00C17BF2"/>
    <w:rsid w:val="00C17FA1"/>
    <w:rsid w:val="00C2011A"/>
    <w:rsid w:val="00C2035C"/>
    <w:rsid w:val="00C2062E"/>
    <w:rsid w:val="00C22E4A"/>
    <w:rsid w:val="00C2526A"/>
    <w:rsid w:val="00C25285"/>
    <w:rsid w:val="00C252CD"/>
    <w:rsid w:val="00C25D98"/>
    <w:rsid w:val="00C26010"/>
    <w:rsid w:val="00C27D5D"/>
    <w:rsid w:val="00C30917"/>
    <w:rsid w:val="00C319F3"/>
    <w:rsid w:val="00C32EA6"/>
    <w:rsid w:val="00C32FE8"/>
    <w:rsid w:val="00C3334F"/>
    <w:rsid w:val="00C334D7"/>
    <w:rsid w:val="00C33672"/>
    <w:rsid w:val="00C36917"/>
    <w:rsid w:val="00C4033A"/>
    <w:rsid w:val="00C40B6F"/>
    <w:rsid w:val="00C40E28"/>
    <w:rsid w:val="00C410E6"/>
    <w:rsid w:val="00C411EF"/>
    <w:rsid w:val="00C41FF1"/>
    <w:rsid w:val="00C43855"/>
    <w:rsid w:val="00C4587B"/>
    <w:rsid w:val="00C46EA2"/>
    <w:rsid w:val="00C518B1"/>
    <w:rsid w:val="00C51A1E"/>
    <w:rsid w:val="00C52244"/>
    <w:rsid w:val="00C5590D"/>
    <w:rsid w:val="00C56555"/>
    <w:rsid w:val="00C565D5"/>
    <w:rsid w:val="00C5733C"/>
    <w:rsid w:val="00C61684"/>
    <w:rsid w:val="00C61F81"/>
    <w:rsid w:val="00C62B20"/>
    <w:rsid w:val="00C634A5"/>
    <w:rsid w:val="00C63730"/>
    <w:rsid w:val="00C643E2"/>
    <w:rsid w:val="00C643E3"/>
    <w:rsid w:val="00C64620"/>
    <w:rsid w:val="00C6486D"/>
    <w:rsid w:val="00C6504A"/>
    <w:rsid w:val="00C656FD"/>
    <w:rsid w:val="00C65CD0"/>
    <w:rsid w:val="00C67EFB"/>
    <w:rsid w:val="00C71D38"/>
    <w:rsid w:val="00C7333C"/>
    <w:rsid w:val="00C73E52"/>
    <w:rsid w:val="00C740F4"/>
    <w:rsid w:val="00C75FBA"/>
    <w:rsid w:val="00C76CE0"/>
    <w:rsid w:val="00C77112"/>
    <w:rsid w:val="00C7774A"/>
    <w:rsid w:val="00C777AB"/>
    <w:rsid w:val="00C779F4"/>
    <w:rsid w:val="00C77BDF"/>
    <w:rsid w:val="00C80361"/>
    <w:rsid w:val="00C808BE"/>
    <w:rsid w:val="00C817AE"/>
    <w:rsid w:val="00C85BA3"/>
    <w:rsid w:val="00C8701B"/>
    <w:rsid w:val="00C87C31"/>
    <w:rsid w:val="00C92106"/>
    <w:rsid w:val="00C93782"/>
    <w:rsid w:val="00C93CBD"/>
    <w:rsid w:val="00C946CF"/>
    <w:rsid w:val="00C956F8"/>
    <w:rsid w:val="00C95E16"/>
    <w:rsid w:val="00C9680F"/>
    <w:rsid w:val="00C976FC"/>
    <w:rsid w:val="00C978E8"/>
    <w:rsid w:val="00C97901"/>
    <w:rsid w:val="00C97A12"/>
    <w:rsid w:val="00CA078F"/>
    <w:rsid w:val="00CA35A1"/>
    <w:rsid w:val="00CA3C2E"/>
    <w:rsid w:val="00CA3D0C"/>
    <w:rsid w:val="00CA4CB5"/>
    <w:rsid w:val="00CA748A"/>
    <w:rsid w:val="00CA7715"/>
    <w:rsid w:val="00CB13A1"/>
    <w:rsid w:val="00CB13BF"/>
    <w:rsid w:val="00CB148A"/>
    <w:rsid w:val="00CB1D0D"/>
    <w:rsid w:val="00CB38CD"/>
    <w:rsid w:val="00CB3C16"/>
    <w:rsid w:val="00CB4D57"/>
    <w:rsid w:val="00CB5FF8"/>
    <w:rsid w:val="00CB63EA"/>
    <w:rsid w:val="00CC1B9E"/>
    <w:rsid w:val="00CC354E"/>
    <w:rsid w:val="00CC3C12"/>
    <w:rsid w:val="00CC47E9"/>
    <w:rsid w:val="00CC48C1"/>
    <w:rsid w:val="00CC5519"/>
    <w:rsid w:val="00CC7407"/>
    <w:rsid w:val="00CC7DAF"/>
    <w:rsid w:val="00CC7FA3"/>
    <w:rsid w:val="00CD2F85"/>
    <w:rsid w:val="00CD46AC"/>
    <w:rsid w:val="00CD4B87"/>
    <w:rsid w:val="00CD59A9"/>
    <w:rsid w:val="00CD7C80"/>
    <w:rsid w:val="00CE0A29"/>
    <w:rsid w:val="00CE11FA"/>
    <w:rsid w:val="00CE26AE"/>
    <w:rsid w:val="00CE2AFD"/>
    <w:rsid w:val="00CE470C"/>
    <w:rsid w:val="00CE48F6"/>
    <w:rsid w:val="00CE550C"/>
    <w:rsid w:val="00CE5DCF"/>
    <w:rsid w:val="00CE61FC"/>
    <w:rsid w:val="00CE673B"/>
    <w:rsid w:val="00CE6B37"/>
    <w:rsid w:val="00CE7115"/>
    <w:rsid w:val="00CF1C7E"/>
    <w:rsid w:val="00CF1F4D"/>
    <w:rsid w:val="00CF2D2E"/>
    <w:rsid w:val="00CF2DD4"/>
    <w:rsid w:val="00CF3CD6"/>
    <w:rsid w:val="00CF4808"/>
    <w:rsid w:val="00D00C4B"/>
    <w:rsid w:val="00D00E2C"/>
    <w:rsid w:val="00D01477"/>
    <w:rsid w:val="00D016D8"/>
    <w:rsid w:val="00D0292A"/>
    <w:rsid w:val="00D0445D"/>
    <w:rsid w:val="00D05115"/>
    <w:rsid w:val="00D063AD"/>
    <w:rsid w:val="00D0708F"/>
    <w:rsid w:val="00D0723B"/>
    <w:rsid w:val="00D10051"/>
    <w:rsid w:val="00D10E2E"/>
    <w:rsid w:val="00D1277D"/>
    <w:rsid w:val="00D170B9"/>
    <w:rsid w:val="00D17D5F"/>
    <w:rsid w:val="00D22017"/>
    <w:rsid w:val="00D22FB4"/>
    <w:rsid w:val="00D24E93"/>
    <w:rsid w:val="00D25E16"/>
    <w:rsid w:val="00D26F28"/>
    <w:rsid w:val="00D318C9"/>
    <w:rsid w:val="00D31FF4"/>
    <w:rsid w:val="00D32AD2"/>
    <w:rsid w:val="00D351B0"/>
    <w:rsid w:val="00D3661E"/>
    <w:rsid w:val="00D366AA"/>
    <w:rsid w:val="00D3773D"/>
    <w:rsid w:val="00D41BAB"/>
    <w:rsid w:val="00D42BA4"/>
    <w:rsid w:val="00D42D30"/>
    <w:rsid w:val="00D4316B"/>
    <w:rsid w:val="00D45A6F"/>
    <w:rsid w:val="00D469BF"/>
    <w:rsid w:val="00D51646"/>
    <w:rsid w:val="00D52A93"/>
    <w:rsid w:val="00D52CAF"/>
    <w:rsid w:val="00D543F6"/>
    <w:rsid w:val="00D55EF7"/>
    <w:rsid w:val="00D5781D"/>
    <w:rsid w:val="00D57CA8"/>
    <w:rsid w:val="00D6227F"/>
    <w:rsid w:val="00D63E42"/>
    <w:rsid w:val="00D64271"/>
    <w:rsid w:val="00D649EB"/>
    <w:rsid w:val="00D64D0A"/>
    <w:rsid w:val="00D64FBC"/>
    <w:rsid w:val="00D64FFA"/>
    <w:rsid w:val="00D65C18"/>
    <w:rsid w:val="00D66E32"/>
    <w:rsid w:val="00D70F18"/>
    <w:rsid w:val="00D724D0"/>
    <w:rsid w:val="00D727FD"/>
    <w:rsid w:val="00D72DC9"/>
    <w:rsid w:val="00D7339F"/>
    <w:rsid w:val="00D73FDB"/>
    <w:rsid w:val="00D745C1"/>
    <w:rsid w:val="00D7486D"/>
    <w:rsid w:val="00D75D5B"/>
    <w:rsid w:val="00D7636F"/>
    <w:rsid w:val="00D76826"/>
    <w:rsid w:val="00D77B70"/>
    <w:rsid w:val="00D77EAB"/>
    <w:rsid w:val="00D815A6"/>
    <w:rsid w:val="00D82C86"/>
    <w:rsid w:val="00D86016"/>
    <w:rsid w:val="00D866D6"/>
    <w:rsid w:val="00D873BC"/>
    <w:rsid w:val="00D90A02"/>
    <w:rsid w:val="00D90B37"/>
    <w:rsid w:val="00D93457"/>
    <w:rsid w:val="00D9395E"/>
    <w:rsid w:val="00D96E17"/>
    <w:rsid w:val="00D96F30"/>
    <w:rsid w:val="00DA2014"/>
    <w:rsid w:val="00DA2A56"/>
    <w:rsid w:val="00DA301E"/>
    <w:rsid w:val="00DA3228"/>
    <w:rsid w:val="00DA341F"/>
    <w:rsid w:val="00DA3B30"/>
    <w:rsid w:val="00DA4BD5"/>
    <w:rsid w:val="00DA5B6B"/>
    <w:rsid w:val="00DA6209"/>
    <w:rsid w:val="00DA6B12"/>
    <w:rsid w:val="00DA6BBA"/>
    <w:rsid w:val="00DB0181"/>
    <w:rsid w:val="00DB02D8"/>
    <w:rsid w:val="00DB0959"/>
    <w:rsid w:val="00DB0A3B"/>
    <w:rsid w:val="00DB1A0F"/>
    <w:rsid w:val="00DB2433"/>
    <w:rsid w:val="00DB3206"/>
    <w:rsid w:val="00DB33F1"/>
    <w:rsid w:val="00DB34E4"/>
    <w:rsid w:val="00DB3C94"/>
    <w:rsid w:val="00DB410B"/>
    <w:rsid w:val="00DB57AD"/>
    <w:rsid w:val="00DB5BC2"/>
    <w:rsid w:val="00DB7D52"/>
    <w:rsid w:val="00DC29BF"/>
    <w:rsid w:val="00DC35E4"/>
    <w:rsid w:val="00DC3DC5"/>
    <w:rsid w:val="00DC5C04"/>
    <w:rsid w:val="00DD0A91"/>
    <w:rsid w:val="00DD1494"/>
    <w:rsid w:val="00DD1754"/>
    <w:rsid w:val="00DD2552"/>
    <w:rsid w:val="00DD2858"/>
    <w:rsid w:val="00DD2E46"/>
    <w:rsid w:val="00DD365D"/>
    <w:rsid w:val="00DD3F13"/>
    <w:rsid w:val="00DD6732"/>
    <w:rsid w:val="00DE0820"/>
    <w:rsid w:val="00DE17AE"/>
    <w:rsid w:val="00DE188F"/>
    <w:rsid w:val="00DE253C"/>
    <w:rsid w:val="00DE2623"/>
    <w:rsid w:val="00DE2F6B"/>
    <w:rsid w:val="00DE3981"/>
    <w:rsid w:val="00DE3C42"/>
    <w:rsid w:val="00DE41F8"/>
    <w:rsid w:val="00DE48B1"/>
    <w:rsid w:val="00DE5DEF"/>
    <w:rsid w:val="00DE6435"/>
    <w:rsid w:val="00DE6B97"/>
    <w:rsid w:val="00DE7C18"/>
    <w:rsid w:val="00DF02D4"/>
    <w:rsid w:val="00DF43CE"/>
    <w:rsid w:val="00DF469C"/>
    <w:rsid w:val="00DF4A97"/>
    <w:rsid w:val="00DF5544"/>
    <w:rsid w:val="00DF67C2"/>
    <w:rsid w:val="00DF6DE9"/>
    <w:rsid w:val="00E026EC"/>
    <w:rsid w:val="00E02DE4"/>
    <w:rsid w:val="00E040F8"/>
    <w:rsid w:val="00E05437"/>
    <w:rsid w:val="00E05989"/>
    <w:rsid w:val="00E07B7A"/>
    <w:rsid w:val="00E10661"/>
    <w:rsid w:val="00E1215C"/>
    <w:rsid w:val="00E122D2"/>
    <w:rsid w:val="00E134B6"/>
    <w:rsid w:val="00E1365C"/>
    <w:rsid w:val="00E14866"/>
    <w:rsid w:val="00E17D7D"/>
    <w:rsid w:val="00E20DD8"/>
    <w:rsid w:val="00E21A04"/>
    <w:rsid w:val="00E21D80"/>
    <w:rsid w:val="00E257B8"/>
    <w:rsid w:val="00E25D64"/>
    <w:rsid w:val="00E261C8"/>
    <w:rsid w:val="00E26303"/>
    <w:rsid w:val="00E27C1B"/>
    <w:rsid w:val="00E30B3D"/>
    <w:rsid w:val="00E33087"/>
    <w:rsid w:val="00E333E4"/>
    <w:rsid w:val="00E339C5"/>
    <w:rsid w:val="00E36402"/>
    <w:rsid w:val="00E4071B"/>
    <w:rsid w:val="00E4411B"/>
    <w:rsid w:val="00E444D6"/>
    <w:rsid w:val="00E44A08"/>
    <w:rsid w:val="00E44B3B"/>
    <w:rsid w:val="00E500FE"/>
    <w:rsid w:val="00E504AB"/>
    <w:rsid w:val="00E508F9"/>
    <w:rsid w:val="00E53E15"/>
    <w:rsid w:val="00E54064"/>
    <w:rsid w:val="00E55B14"/>
    <w:rsid w:val="00E55E1A"/>
    <w:rsid w:val="00E57928"/>
    <w:rsid w:val="00E608F4"/>
    <w:rsid w:val="00E60DC3"/>
    <w:rsid w:val="00E60FD1"/>
    <w:rsid w:val="00E619EB"/>
    <w:rsid w:val="00E631E9"/>
    <w:rsid w:val="00E6484B"/>
    <w:rsid w:val="00E65590"/>
    <w:rsid w:val="00E667E8"/>
    <w:rsid w:val="00E679B7"/>
    <w:rsid w:val="00E70C43"/>
    <w:rsid w:val="00E71FBE"/>
    <w:rsid w:val="00E72435"/>
    <w:rsid w:val="00E7468B"/>
    <w:rsid w:val="00E75F34"/>
    <w:rsid w:val="00E80E9E"/>
    <w:rsid w:val="00E83077"/>
    <w:rsid w:val="00E83107"/>
    <w:rsid w:val="00E83930"/>
    <w:rsid w:val="00E83ED8"/>
    <w:rsid w:val="00E841F4"/>
    <w:rsid w:val="00E84A68"/>
    <w:rsid w:val="00E91558"/>
    <w:rsid w:val="00E91CEE"/>
    <w:rsid w:val="00E936C5"/>
    <w:rsid w:val="00E937CD"/>
    <w:rsid w:val="00E963E2"/>
    <w:rsid w:val="00E9798E"/>
    <w:rsid w:val="00EA23C2"/>
    <w:rsid w:val="00EA420C"/>
    <w:rsid w:val="00EA4CA0"/>
    <w:rsid w:val="00EA6BF4"/>
    <w:rsid w:val="00EA7FAB"/>
    <w:rsid w:val="00EB0C53"/>
    <w:rsid w:val="00EB2BCD"/>
    <w:rsid w:val="00EB30D0"/>
    <w:rsid w:val="00EB31BD"/>
    <w:rsid w:val="00EB327F"/>
    <w:rsid w:val="00EB328E"/>
    <w:rsid w:val="00EB3478"/>
    <w:rsid w:val="00EB3998"/>
    <w:rsid w:val="00EC02B1"/>
    <w:rsid w:val="00EC06AA"/>
    <w:rsid w:val="00EC393C"/>
    <w:rsid w:val="00EC5B92"/>
    <w:rsid w:val="00EC66FE"/>
    <w:rsid w:val="00EC6D11"/>
    <w:rsid w:val="00EC7504"/>
    <w:rsid w:val="00ED051B"/>
    <w:rsid w:val="00ED0B77"/>
    <w:rsid w:val="00ED1D03"/>
    <w:rsid w:val="00ED420A"/>
    <w:rsid w:val="00ED4A8B"/>
    <w:rsid w:val="00ED645B"/>
    <w:rsid w:val="00ED7554"/>
    <w:rsid w:val="00ED7930"/>
    <w:rsid w:val="00ED7F2F"/>
    <w:rsid w:val="00EE0A13"/>
    <w:rsid w:val="00EE1B44"/>
    <w:rsid w:val="00EE3E3B"/>
    <w:rsid w:val="00EE5A7E"/>
    <w:rsid w:val="00EE6397"/>
    <w:rsid w:val="00EE6923"/>
    <w:rsid w:val="00EE69A5"/>
    <w:rsid w:val="00EE6AAA"/>
    <w:rsid w:val="00EF2D45"/>
    <w:rsid w:val="00EF4C99"/>
    <w:rsid w:val="00EF53DE"/>
    <w:rsid w:val="00EF5FD8"/>
    <w:rsid w:val="00F0067B"/>
    <w:rsid w:val="00F00F9F"/>
    <w:rsid w:val="00F012D1"/>
    <w:rsid w:val="00F01438"/>
    <w:rsid w:val="00F01482"/>
    <w:rsid w:val="00F01C29"/>
    <w:rsid w:val="00F01F00"/>
    <w:rsid w:val="00F0231F"/>
    <w:rsid w:val="00F03240"/>
    <w:rsid w:val="00F03783"/>
    <w:rsid w:val="00F04080"/>
    <w:rsid w:val="00F05025"/>
    <w:rsid w:val="00F05B53"/>
    <w:rsid w:val="00F05CEA"/>
    <w:rsid w:val="00F066C4"/>
    <w:rsid w:val="00F06F8B"/>
    <w:rsid w:val="00F07D28"/>
    <w:rsid w:val="00F1040F"/>
    <w:rsid w:val="00F10C59"/>
    <w:rsid w:val="00F10E3D"/>
    <w:rsid w:val="00F110E8"/>
    <w:rsid w:val="00F11330"/>
    <w:rsid w:val="00F1196D"/>
    <w:rsid w:val="00F11C1E"/>
    <w:rsid w:val="00F1487A"/>
    <w:rsid w:val="00F15601"/>
    <w:rsid w:val="00F15B6D"/>
    <w:rsid w:val="00F164F7"/>
    <w:rsid w:val="00F20599"/>
    <w:rsid w:val="00F2161F"/>
    <w:rsid w:val="00F21B85"/>
    <w:rsid w:val="00F22E21"/>
    <w:rsid w:val="00F24378"/>
    <w:rsid w:val="00F246ED"/>
    <w:rsid w:val="00F307A0"/>
    <w:rsid w:val="00F322A3"/>
    <w:rsid w:val="00F3262F"/>
    <w:rsid w:val="00F32A8E"/>
    <w:rsid w:val="00F3402D"/>
    <w:rsid w:val="00F36242"/>
    <w:rsid w:val="00F37565"/>
    <w:rsid w:val="00F37724"/>
    <w:rsid w:val="00F40669"/>
    <w:rsid w:val="00F409CE"/>
    <w:rsid w:val="00F4301C"/>
    <w:rsid w:val="00F43BC5"/>
    <w:rsid w:val="00F43FE3"/>
    <w:rsid w:val="00F5084D"/>
    <w:rsid w:val="00F50D5D"/>
    <w:rsid w:val="00F514CB"/>
    <w:rsid w:val="00F5158D"/>
    <w:rsid w:val="00F53441"/>
    <w:rsid w:val="00F54FEE"/>
    <w:rsid w:val="00F55188"/>
    <w:rsid w:val="00F60055"/>
    <w:rsid w:val="00F605F3"/>
    <w:rsid w:val="00F6274B"/>
    <w:rsid w:val="00F65561"/>
    <w:rsid w:val="00F67DA7"/>
    <w:rsid w:val="00F727C9"/>
    <w:rsid w:val="00F73C5E"/>
    <w:rsid w:val="00F756AC"/>
    <w:rsid w:val="00F761EB"/>
    <w:rsid w:val="00F77138"/>
    <w:rsid w:val="00F77754"/>
    <w:rsid w:val="00F81AF6"/>
    <w:rsid w:val="00F8489A"/>
    <w:rsid w:val="00F84EEC"/>
    <w:rsid w:val="00F8509A"/>
    <w:rsid w:val="00F85966"/>
    <w:rsid w:val="00F859F0"/>
    <w:rsid w:val="00F861F2"/>
    <w:rsid w:val="00F8631B"/>
    <w:rsid w:val="00FA0A1D"/>
    <w:rsid w:val="00FA0A84"/>
    <w:rsid w:val="00FA1435"/>
    <w:rsid w:val="00FA4163"/>
    <w:rsid w:val="00FA47A8"/>
    <w:rsid w:val="00FA4829"/>
    <w:rsid w:val="00FA6F04"/>
    <w:rsid w:val="00FA76DD"/>
    <w:rsid w:val="00FB1ED5"/>
    <w:rsid w:val="00FB22F1"/>
    <w:rsid w:val="00FB3EBE"/>
    <w:rsid w:val="00FB43AF"/>
    <w:rsid w:val="00FB5EB6"/>
    <w:rsid w:val="00FB6484"/>
    <w:rsid w:val="00FC0C0A"/>
    <w:rsid w:val="00FC438F"/>
    <w:rsid w:val="00FC5467"/>
    <w:rsid w:val="00FC59CB"/>
    <w:rsid w:val="00FC5EF9"/>
    <w:rsid w:val="00FC69CD"/>
    <w:rsid w:val="00FC7995"/>
    <w:rsid w:val="00FC79AD"/>
    <w:rsid w:val="00FD0AB3"/>
    <w:rsid w:val="00FD0F48"/>
    <w:rsid w:val="00FD192F"/>
    <w:rsid w:val="00FD2CF5"/>
    <w:rsid w:val="00FD4755"/>
    <w:rsid w:val="00FD4B64"/>
    <w:rsid w:val="00FD6A25"/>
    <w:rsid w:val="00FE0644"/>
    <w:rsid w:val="00FE14F4"/>
    <w:rsid w:val="00FE2E96"/>
    <w:rsid w:val="00FE4174"/>
    <w:rsid w:val="00FE66B4"/>
    <w:rsid w:val="00FF0062"/>
    <w:rsid w:val="00FF0A8D"/>
    <w:rsid w:val="00FF0F33"/>
    <w:rsid w:val="00FF248C"/>
    <w:rsid w:val="00FF2E61"/>
    <w:rsid w:val="00FF6B9E"/>
    <w:rsid w:val="00FF773A"/>
    <w:rsid w:val="00FF7C4E"/>
    <w:rsid w:val="293D4F1C"/>
    <w:rsid w:val="3B5978CB"/>
    <w:rsid w:val="65FF2549"/>
    <w:rsid w:val="766D1A4E"/>
    <w:rsid w:val="7E9F0B75"/>
    <w:rsid w:val="7FF9BD24"/>
    <w:rsid w:val="9B6E29C5"/>
    <w:rsid w:val="D5FF5BE2"/>
    <w:rsid w:val="D73B9097"/>
    <w:rsid w:val="F3EECE3C"/>
    <w:rsid w:val="F6DB83F6"/>
    <w:rsid w:val="FDFF752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Date"/>
    <w:basedOn w:val="1"/>
    <w:next w:val="1"/>
    <w:link w:val="14"/>
    <w:uiPriority w:val="0"/>
    <w:pPr>
      <w:ind w:left="100" w:leftChars="2500"/>
    </w:p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table" w:styleId="6">
    <w:name w:val="Table Grid"/>
    <w:basedOn w:val="5"/>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character" w:customStyle="1" w:styleId="9">
    <w:name w:val="页脚 Char"/>
    <w:basedOn w:val="7"/>
    <w:link w:val="3"/>
    <w:uiPriority w:val="0"/>
    <w:rPr>
      <w:rFonts w:ascii="Times New Roman" w:hAnsi="Times New Roman" w:eastAsia="宋体" w:cs="Times New Roman"/>
      <w:sz w:val="18"/>
      <w:szCs w:val="18"/>
    </w:rPr>
  </w:style>
  <w:style w:type="character" w:customStyle="1" w:styleId="10">
    <w:name w:val="页眉 Char"/>
    <w:basedOn w:val="7"/>
    <w:link w:val="4"/>
    <w:uiPriority w:val="0"/>
    <w:rPr>
      <w:rFonts w:ascii="Times New Roman" w:hAnsi="Times New Roman" w:eastAsia="宋体" w:cs="Times New Roman"/>
      <w:sz w:val="18"/>
      <w:szCs w:val="18"/>
    </w:rPr>
  </w:style>
  <w:style w:type="paragraph" w:customStyle="1" w:styleId="11">
    <w:name w:val="CM11"/>
    <w:basedOn w:val="12"/>
    <w:next w:val="12"/>
    <w:unhideWhenUsed/>
    <w:qFormat/>
    <w:uiPriority w:val="99"/>
    <w:rPr>
      <w:rFonts w:hint="default"/>
    </w:rPr>
  </w:style>
  <w:style w:type="paragraph" w:customStyle="1" w:styleId="12">
    <w:name w:val="Default"/>
    <w:unhideWhenUsed/>
    <w:qFormat/>
    <w:uiPriority w:val="99"/>
    <w:pPr>
      <w:widowControl w:val="0"/>
      <w:autoSpaceDE w:val="0"/>
      <w:autoSpaceDN w:val="0"/>
      <w:adjustRightInd w:val="0"/>
    </w:pPr>
    <w:rPr>
      <w:rFonts w:hint="eastAsia" w:ascii="HiddenHorzOCl" w:hAnsi="HiddenHorzOCl" w:eastAsia="HiddenHorzOCl"/>
      <w:color w:val="000000"/>
      <w:sz w:val="24"/>
      <w:lang w:val="en-US" w:eastAsia="zh-CN" w:bidi="ar-SA"/>
    </w:rPr>
  </w:style>
  <w:style w:type="paragraph" w:customStyle="1" w:styleId="13">
    <w:name w:val="正文_0"/>
    <w:qFormat/>
    <w:uiPriority w:val="0"/>
    <w:pPr>
      <w:widowControl w:val="0"/>
      <w:jc w:val="both"/>
    </w:pPr>
    <w:rPr>
      <w:rFonts w:ascii="Calibri" w:hAnsi="Calibri"/>
      <w:kern w:val="2"/>
      <w:sz w:val="21"/>
      <w:szCs w:val="22"/>
      <w:lang w:val="en-US" w:eastAsia="zh-CN" w:bidi="ar-SA"/>
    </w:rPr>
  </w:style>
  <w:style w:type="character" w:customStyle="1" w:styleId="14">
    <w:name w:val="日期 Char"/>
    <w:basedOn w:val="7"/>
    <w:link w:val="2"/>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13</Pages>
  <Words>866</Words>
  <Characters>4941</Characters>
  <Lines>41</Lines>
  <Paragraphs>11</Paragraphs>
  <TotalTime>0</TotalTime>
  <ScaleCrop>false</ScaleCrop>
  <LinksUpToDate>false</LinksUpToDate>
  <CharactersWithSpaces>5796</CharactersWithSpaces>
  <Application>WPS Office_11.1.0.11544_F1E327BC-269C-435d-A152-05C5408002CA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2011-02-26T09:06:00Z</dcterms:created>
  <dc:creator>科员01</dc:creator>
  <cp:lastModifiedBy>69558</cp:lastModifiedBy>
  <dcterms:modified xsi:type="dcterms:W3CDTF">2022-11-14T03:33:37Z</dcterms:modified>
  <dc:title>深圳市市场监督管理局文件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2052-11.1.0.11544</vt:lpwstr>
  </property>
  <property fmtid="{D5CDD505-2E9C-101B-9397-08002B2CF9AE}" pid="3" name="ICV">
    <vt:lpwstr>4C089C3BC98F4EC29652591099B18A8A</vt:lpwstr>
  </property>
</Properties>
</file>