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）二氧化硫残留量</w:t>
      </w:r>
    </w:p>
    <w:p>
      <w:pPr>
        <w:spacing w:line="560" w:lineRule="exact"/>
        <w:ind w:firstLine="640" w:firstLineChars="200"/>
        <w:rPr>
          <w:color w:val="auto"/>
        </w:rPr>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2760-2014）中规定，干制蔬菜中二氧化硫残留量应≤0.2g/kg。</w:t>
      </w:r>
      <w:r>
        <w:rPr>
          <w:rFonts w:hint="eastAsia" w:ascii="仿宋_GB2312" w:hAnsi="仿宋" w:eastAsia="仿宋_GB2312" w:cs="宋体"/>
          <w:color w:val="auto"/>
          <w:kern w:val="0"/>
          <w:sz w:val="32"/>
          <w:szCs w:val="32"/>
        </w:rPr>
        <w:t>对二氧化硫有过敏反应的人（如哮喘病患者等）若食用二氧化硫超标的食物，可能会出现气喘、头痛或恶心等过敏症状。若长期大量摄入二氧化硫残留超标的食品，则可能对人体健康造成危害，其毒性表现为胃肠道反应，如恶心、呕吐等。此外，还会影响钙吸收，使机体钙丢失。</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lang w:val="en-US" w:eastAsia="zh-CN"/>
        </w:rPr>
        <w:t>二</w:t>
      </w:r>
      <w:r>
        <w:rPr>
          <w:rFonts w:hint="eastAsia" w:ascii="楷体_GB2312" w:hAnsi="楷体" w:eastAsia="楷体_GB2312" w:cs="仿宋_GB2312"/>
          <w:b/>
          <w:sz w:val="32"/>
          <w:szCs w:val="32"/>
          <w:lang w:eastAsia="zh-CN"/>
        </w:rPr>
        <w:t>）大肠菌群</w:t>
      </w:r>
    </w:p>
    <w:p>
      <w:pPr>
        <w:widowControl/>
        <w:jc w:val="both"/>
        <w:rPr>
          <w:rFonts w:hint="eastAsia" w:ascii="仿宋_GB2312" w:hAnsi="仿宋" w:eastAsia="仿宋_GB2312"/>
          <w:color w:val="auto"/>
          <w:sz w:val="32"/>
          <w:szCs w:val="32"/>
        </w:rPr>
      </w:pPr>
      <w:r>
        <w:rPr>
          <w:rFonts w:ascii="仿宋_GB2312" w:hAnsi="仿宋" w:eastAsia="仿宋_GB2312"/>
          <w:sz w:val="32"/>
          <w:szCs w:val="32"/>
          <w:lang w:val="zh-CN"/>
        </w:rPr>
        <w:t>大肠菌群是国内外通用的食品污染常用指示菌之一。</w:t>
      </w:r>
      <w:r>
        <w:rPr>
          <w:rFonts w:hint="eastAsia" w:ascii="仿宋_GB2312" w:hAnsi="仿宋" w:eastAsia="仿宋_GB2312"/>
          <w:sz w:val="32"/>
          <w:szCs w:val="32"/>
          <w:lang w:val="zh-CN"/>
        </w:rPr>
        <w:t>食品中检出大肠菌群，提示被致病菌（如沙门氏菌、志贺氏菌、致病性大肠杆菌）污染的可能性较大。</w:t>
      </w:r>
      <w:r>
        <w:rPr>
          <w:rFonts w:ascii="仿宋_GB2312" w:hAnsi="仿宋" w:eastAsia="仿宋_GB2312"/>
          <w:sz w:val="32"/>
          <w:szCs w:val="32"/>
          <w:lang w:val="zh-CN"/>
        </w:rPr>
        <w:t>《食品安全国家标</w:t>
      </w:r>
      <w:r>
        <w:rPr>
          <w:rFonts w:hint="eastAsia" w:ascii="仿宋_GB2312" w:hAnsi="仿宋" w:eastAsia="仿宋_GB2312"/>
          <w:sz w:val="32"/>
          <w:szCs w:val="32"/>
          <w:lang w:val="zh-CN"/>
        </w:rPr>
        <w:t>准 消毒餐（饮）具</w:t>
      </w:r>
      <w:r>
        <w:rPr>
          <w:rFonts w:ascii="仿宋_GB2312" w:hAnsi="仿宋" w:eastAsia="仿宋_GB2312"/>
          <w:sz w:val="32"/>
          <w:szCs w:val="32"/>
          <w:lang w:val="zh-CN"/>
        </w:rPr>
        <w:t xml:space="preserve">》（GB </w:t>
      </w:r>
      <w:r>
        <w:rPr>
          <w:rFonts w:hint="eastAsia" w:ascii="仿宋_GB2312" w:hAnsi="仿宋" w:eastAsia="仿宋_GB2312"/>
          <w:sz w:val="32"/>
          <w:szCs w:val="32"/>
          <w:lang w:val="zh-CN"/>
        </w:rPr>
        <w:t>14934</w:t>
      </w:r>
      <w:r>
        <w:rPr>
          <w:rFonts w:hint="eastAsia" w:ascii="仿宋_GB2312" w:hAnsi="仿宋" w:eastAsia="仿宋_GB2312"/>
          <w:color w:val="auto"/>
          <w:sz w:val="32"/>
          <w:szCs w:val="32"/>
          <w:lang w:val="en-US" w:eastAsia="zh-CN"/>
        </w:rPr>
        <w:t>-</w:t>
      </w:r>
      <w:r>
        <w:rPr>
          <w:rFonts w:ascii="仿宋_GB2312" w:hAnsi="仿宋" w:eastAsia="仿宋_GB2312"/>
          <w:sz w:val="32"/>
          <w:szCs w:val="32"/>
          <w:lang w:val="zh-CN"/>
        </w:rPr>
        <w:t>201</w:t>
      </w:r>
      <w:r>
        <w:rPr>
          <w:rFonts w:hint="eastAsia" w:ascii="仿宋_GB2312" w:hAnsi="仿宋" w:eastAsia="仿宋_GB2312"/>
          <w:sz w:val="32"/>
          <w:szCs w:val="32"/>
          <w:lang w:val="zh-CN"/>
        </w:rPr>
        <w:t>6</w:t>
      </w:r>
      <w:r>
        <w:rPr>
          <w:rFonts w:ascii="仿宋_GB2312" w:hAnsi="仿宋" w:eastAsia="仿宋_GB2312"/>
          <w:sz w:val="32"/>
          <w:szCs w:val="32"/>
          <w:lang w:val="zh-CN"/>
        </w:rPr>
        <w:t>）中规定，</w:t>
      </w:r>
      <w:r>
        <w:rPr>
          <w:rFonts w:hint="eastAsia" w:ascii="仿宋_GB2312" w:hAnsi="仿宋" w:eastAsia="仿宋_GB2312"/>
          <w:sz w:val="32"/>
          <w:szCs w:val="32"/>
          <w:lang w:val="zh-CN"/>
        </w:rPr>
        <w:t>消毒餐（饮）具（每50</w:t>
      </w:r>
      <w:r>
        <w:rPr>
          <w:rFonts w:hint="eastAsia" w:ascii="仿宋_GB2312" w:hAnsi="仿宋" w:eastAsia="仿宋_GB2312"/>
          <w:sz w:val="32"/>
          <w:szCs w:val="32"/>
          <w:lang w:val="en-US" w:eastAsia="zh-CN"/>
        </w:rPr>
        <w:t>c</w:t>
      </w:r>
      <w:r>
        <w:rPr>
          <w:rFonts w:hint="eastAsia" w:ascii="仿宋_GB2312" w:hAnsi="仿宋" w:eastAsia="仿宋_GB2312"/>
          <w:sz w:val="32"/>
          <w:szCs w:val="32"/>
          <w:lang w:val="zh-CN"/>
        </w:rPr>
        <w:t>m</w:t>
      </w:r>
      <w:r>
        <w:rPr>
          <w:rFonts w:hint="eastAsia" w:ascii="仿宋_GB2312" w:hAnsi="仿宋" w:eastAsia="仿宋_GB2312"/>
          <w:color w:val="auto"/>
          <w:sz w:val="32"/>
          <w:szCs w:val="32"/>
          <w:vertAlign w:val="superscript"/>
          <w:lang w:val="zh-CN"/>
        </w:rPr>
        <w:t>2</w:t>
      </w:r>
      <w:r>
        <w:rPr>
          <w:rFonts w:hint="eastAsia" w:ascii="仿宋_GB2312" w:hAnsi="仿宋" w:eastAsia="仿宋_GB2312"/>
          <w:sz w:val="32"/>
          <w:szCs w:val="32"/>
          <w:lang w:val="zh-CN"/>
        </w:rPr>
        <w:t>）中不得检出大肠菌群。</w:t>
      </w:r>
      <w:r>
        <w:rPr>
          <w:rFonts w:hint="eastAsia" w:ascii="仿宋_GB2312" w:hAnsi="仿宋" w:eastAsia="仿宋_GB2312"/>
          <w:sz w:val="32"/>
          <w:szCs w:val="32"/>
          <w:lang w:val="zh-CN" w:eastAsia="zh-CN"/>
        </w:rPr>
        <w:t>本次抽检不合格产品所执行企业标准</w:t>
      </w:r>
      <w:r>
        <w:rPr>
          <w:rFonts w:hint="eastAsia" w:ascii="仿宋_GB2312" w:hAnsi="仿宋" w:eastAsia="仿宋_GB2312"/>
          <w:sz w:val="32"/>
          <w:szCs w:val="32"/>
          <w:lang w:val="en-US" w:eastAsia="zh-CN"/>
        </w:rPr>
        <w:t>中规定</w:t>
      </w:r>
      <w:r>
        <w:rPr>
          <w:rFonts w:hint="eastAsia" w:ascii="仿宋_GB2312" w:hAnsi="仿宋"/>
          <w:sz w:val="32"/>
          <w:szCs w:val="32"/>
          <w:lang w:val="en-US" w:eastAsia="zh-CN"/>
        </w:rPr>
        <w:t>，</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color w:val="000000"/>
          <w:sz w:val="32"/>
          <w:szCs w:val="32"/>
          <w:vertAlign w:val="superscript"/>
          <w:lang w:val="en-US" w:eastAsia="zh-CN"/>
        </w:rPr>
        <w:t>3</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color w:val="000000"/>
          <w:sz w:val="32"/>
          <w:szCs w:val="32"/>
          <w:vertAlign w:val="superscript"/>
          <w:lang w:val="en-US" w:eastAsia="zh-CN"/>
        </w:rPr>
        <w:t>3</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color w:val="000000"/>
          <w:sz w:val="32"/>
          <w:szCs w:val="32"/>
          <w:vertAlign w:val="superscript"/>
          <w:lang w:val="en-US" w:eastAsia="zh-CN"/>
        </w:rPr>
        <w:t>5</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color w:val="000000"/>
          <w:sz w:val="32"/>
          <w:szCs w:val="32"/>
          <w:vertAlign w:val="superscript"/>
          <w:lang w:val="en-US" w:eastAsia="zh-CN"/>
        </w:rPr>
        <w:t>5</w:t>
      </w:r>
      <w:r>
        <w:rPr>
          <w:rFonts w:hint="eastAsia" w:ascii="仿宋_GB2312" w:hAnsi="仿宋" w:eastAsia="仿宋_GB2312"/>
          <w:sz w:val="32"/>
          <w:szCs w:val="32"/>
        </w:rPr>
        <w:t>CFU/g），则这种情况也是不允许的。</w:t>
      </w:r>
      <w:r>
        <w:rPr>
          <w:rFonts w:hint="eastAsia" w:ascii="仿宋_GB2312" w:hAnsi="仿宋" w:eastAsia="仿宋_GB2312"/>
          <w:color w:val="auto"/>
          <w:sz w:val="32"/>
          <w:szCs w:val="32"/>
        </w:rPr>
        <w:t>就餐者使用了大肠菌群不合格的餐饮具</w:t>
      </w:r>
      <w:r>
        <w:rPr>
          <w:rFonts w:hint="eastAsia" w:ascii="仿宋_GB2312" w:hAnsi="仿宋"/>
          <w:color w:val="auto"/>
          <w:sz w:val="32"/>
          <w:szCs w:val="32"/>
          <w:lang w:val="en-US" w:eastAsia="zh-CN"/>
        </w:rPr>
        <w:t>或食用了大肠菌群不合格的食品</w:t>
      </w:r>
      <w:r>
        <w:rPr>
          <w:rFonts w:hint="eastAsia" w:ascii="仿宋_GB2312" w:hAnsi="仿宋" w:eastAsia="仿宋_GB2312"/>
          <w:color w:val="auto"/>
          <w:sz w:val="32"/>
          <w:szCs w:val="32"/>
        </w:rPr>
        <w:t>，可能会出现呕吐、腹泻等消化道疾病。</w:t>
      </w:r>
    </w:p>
    <w:p>
      <w:pPr>
        <w:spacing w:line="560" w:lineRule="exact"/>
        <w:ind w:firstLine="643"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三</w:t>
      </w:r>
      <w:r>
        <w:rPr>
          <w:rFonts w:hint="eastAsia" w:ascii="方正楷体_GB2312" w:hAnsi="方正楷体_GB2312" w:eastAsia="方正楷体_GB2312" w:cs="方正楷体_GB2312"/>
          <w:b/>
          <w:sz w:val="32"/>
          <w:szCs w:val="32"/>
          <w:lang w:val="zh-CN" w:eastAsia="zh-CN"/>
        </w:rPr>
        <w:t>）过氧化值</w:t>
      </w:r>
    </w:p>
    <w:p>
      <w:pPr>
        <w:keepNext w:val="0"/>
        <w:keepLines w:val="0"/>
        <w:widowControl/>
        <w:suppressLineNumbers w:val="0"/>
        <w:jc w:val="left"/>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过氧化值主要反映食品中油脂是否氧化变质。随着油脂被氧化，过氧化值会逐步升高。</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w:t>
      </w:r>
      <w:r>
        <w:rPr>
          <w:rFonts w:hint="eastAsia" w:ascii="仿宋_GB2312" w:hAnsi="仿宋" w:cs="宋体"/>
          <w:kern w:val="0"/>
          <w:sz w:val="32"/>
          <w:szCs w:val="32"/>
          <w:lang w:val="en-US" w:eastAsia="zh-CN"/>
        </w:rPr>
        <w:t>腌腊肉制品</w:t>
      </w:r>
      <w:r>
        <w:rPr>
          <w:rFonts w:ascii="仿宋_GB2312" w:hAnsi="仿宋" w:eastAsia="仿宋_GB2312" w:cs="宋体"/>
          <w:kern w:val="0"/>
          <w:sz w:val="32"/>
          <w:szCs w:val="32"/>
          <w:lang w:val="zh-CN"/>
        </w:rPr>
        <w:t xml:space="preserve">》（GB </w:t>
      </w:r>
      <w:r>
        <w:rPr>
          <w:rFonts w:hint="eastAsia" w:ascii="仿宋_GB2312" w:hAnsi="仿宋" w:cs="宋体"/>
          <w:kern w:val="0"/>
          <w:sz w:val="32"/>
          <w:szCs w:val="32"/>
          <w:lang w:val="en-US" w:eastAsia="zh-CN"/>
        </w:rPr>
        <w:t>2730</w:t>
      </w:r>
      <w:r>
        <w:rPr>
          <w:rFonts w:hint="eastAsia" w:ascii="仿宋_GB2312" w:hAnsi="仿宋" w:eastAsia="仿宋_GB2312" w:cs="宋体"/>
          <w:kern w:val="0"/>
          <w:sz w:val="32"/>
          <w:szCs w:val="32"/>
          <w:lang w:val="zh-CN"/>
        </w:rPr>
        <w:t>-201</w:t>
      </w:r>
      <w:r>
        <w:rPr>
          <w:rFonts w:hint="eastAsia" w:ascii="仿宋_GB2312" w:hAnsi="仿宋" w:cs="宋体"/>
          <w:kern w:val="0"/>
          <w:sz w:val="32"/>
          <w:szCs w:val="32"/>
          <w:lang w:val="en-US" w:eastAsia="zh-CN"/>
        </w:rPr>
        <w:t>5</w:t>
      </w:r>
      <w:r>
        <w:rPr>
          <w:rFonts w:ascii="仿宋_GB2312" w:hAnsi="仿宋" w:eastAsia="仿宋_GB2312" w:cs="宋体"/>
          <w:kern w:val="0"/>
          <w:sz w:val="32"/>
          <w:szCs w:val="32"/>
          <w:lang w:val="zh-CN"/>
        </w:rPr>
        <w:t>）中</w:t>
      </w:r>
      <w:r>
        <w:rPr>
          <w:rFonts w:hint="eastAsia" w:ascii="仿宋_GB2312" w:hAnsi="仿宋" w:eastAsia="仿宋_GB2312" w:cs="仿宋"/>
          <w:color w:val="auto"/>
          <w:kern w:val="2"/>
          <w:sz w:val="32"/>
          <w:szCs w:val="32"/>
          <w:lang w:val="zh-CN" w:eastAsia="zh-CN" w:bidi="ar-SA"/>
        </w:rPr>
        <w:t>规定，</w:t>
      </w:r>
      <w:r>
        <w:rPr>
          <w:rFonts w:hint="eastAsia" w:ascii="仿宋_GB2312" w:hAnsi="仿宋" w:eastAsia="仿宋_GB2312" w:cs="仿宋"/>
          <w:color w:val="auto"/>
          <w:kern w:val="2"/>
          <w:sz w:val="32"/>
          <w:szCs w:val="32"/>
          <w:lang w:val="en-US" w:eastAsia="zh-CN" w:bidi="ar-SA"/>
        </w:rPr>
        <w:t>火腿、腊肉、咸肉、香（腊）肠中</w:t>
      </w:r>
      <w:r>
        <w:rPr>
          <w:rFonts w:hint="eastAsia" w:ascii="仿宋_GB2312" w:hAnsi="仿宋" w:eastAsia="仿宋_GB2312" w:cs="仿宋"/>
          <w:color w:val="auto"/>
          <w:kern w:val="2"/>
          <w:sz w:val="32"/>
          <w:szCs w:val="32"/>
          <w:lang w:val="zh-CN" w:eastAsia="zh-CN" w:bidi="ar-SA"/>
        </w:rPr>
        <w:t>过氧化值应</w:t>
      </w:r>
      <w:r>
        <w:rPr>
          <w:rFonts w:hint="eastAsia" w:ascii="仿宋_GB2312" w:hAnsi="仿宋" w:eastAsia="仿宋_GB2312" w:cs="仿宋"/>
          <w:color w:val="auto"/>
          <w:kern w:val="2"/>
          <w:sz w:val="32"/>
          <w:szCs w:val="32"/>
          <w:lang w:val="en-US" w:eastAsia="zh-CN" w:bidi="ar-SA"/>
        </w:rPr>
        <w:t>≤0.5g/100g。食用过氧化值过高的食品可能会导致肠胃不适、腹泻等症状。</w:t>
      </w:r>
    </w:p>
    <w:p>
      <w:pPr>
        <w:spacing w:line="560" w:lineRule="exact"/>
        <w:ind w:firstLine="643"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四</w:t>
      </w:r>
      <w:r>
        <w:rPr>
          <w:rFonts w:hint="eastAsia" w:ascii="方正楷体_GB2312" w:hAnsi="方正楷体_GB2312" w:eastAsia="方正楷体_GB2312" w:cs="方正楷体_GB2312"/>
          <w:b/>
          <w:bCs w:val="0"/>
          <w:sz w:val="32"/>
          <w:szCs w:val="32"/>
          <w:lang w:val="zh-CN" w:eastAsia="zh-CN"/>
        </w:rPr>
        <w:t>）菌落总数</w:t>
      </w:r>
    </w:p>
    <w:p>
      <w:pPr>
        <w:spacing w:line="560" w:lineRule="exact"/>
        <w:ind w:firstLine="640" w:firstLineChars="200"/>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en-US" w:eastAsia="zh-CN" w:bidi="ar-SA"/>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olor w:val="000000" w:themeColor="text1"/>
          <w:sz w:val="32"/>
          <w:szCs w:val="32"/>
          <w14:textFill>
            <w14:solidFill>
              <w14:schemeClr w14:val="tx1"/>
            </w14:solidFill>
          </w14:textFill>
        </w:rPr>
        <w:t>《食品安全国家标准 熟肉制品》</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GB 2726-2016</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sz w:val="32"/>
          <w:szCs w:val="32"/>
          <w:lang w:val="zh-CN"/>
        </w:rPr>
        <w:t xml:space="preserve">《食品安全国家标准 </w:t>
      </w:r>
      <w:r>
        <w:rPr>
          <w:rFonts w:hint="eastAsia" w:ascii="仿宋_GB2312" w:hAnsi="仿宋"/>
          <w:sz w:val="32"/>
          <w:szCs w:val="32"/>
          <w:lang w:val="en-US" w:eastAsia="zh-CN"/>
        </w:rPr>
        <w:t>糕点、面包</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GB </w:t>
      </w:r>
      <w:r>
        <w:rPr>
          <w:rFonts w:hint="eastAsia" w:ascii="仿宋_GB2312" w:hAnsi="仿宋"/>
          <w:sz w:val="32"/>
          <w:szCs w:val="32"/>
          <w:lang w:val="en-US" w:eastAsia="zh-CN"/>
        </w:rPr>
        <w:t>7099</w:t>
      </w:r>
      <w:r>
        <w:rPr>
          <w:rFonts w:hint="eastAsia" w:ascii="仿宋_GB2312" w:hAnsi="仿宋" w:eastAsia="仿宋_GB2312"/>
          <w:sz w:val="32"/>
          <w:szCs w:val="32"/>
        </w:rPr>
        <w:t>-2015</w:t>
      </w:r>
      <w:r>
        <w:rPr>
          <w:rFonts w:hint="eastAsia" w:ascii="仿宋_GB2312" w:hAnsi="仿宋" w:eastAsia="仿宋_GB2312"/>
          <w:sz w:val="32"/>
          <w:szCs w:val="32"/>
          <w:lang w:eastAsia="zh-CN"/>
        </w:rPr>
        <w:t>）</w:t>
      </w:r>
      <w:r>
        <w:rPr>
          <w:rFonts w:hint="eastAsia" w:ascii="仿宋_GB2312" w:hAnsi="仿宋" w:eastAsia="仿宋_GB2312" w:cs="华文中宋"/>
          <w:color w:val="auto"/>
          <w:kern w:val="2"/>
          <w:sz w:val="32"/>
          <w:szCs w:val="32"/>
          <w:lang w:val="en-US" w:eastAsia="zh-CN" w:bidi="ar-SA"/>
        </w:rPr>
        <w:t>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w:t>
      </w:r>
      <w:r>
        <w:rPr>
          <w:rFonts w:hint="eastAsia" w:ascii="仿宋_GB2312" w:hAnsi="仿宋"/>
          <w:color w:val="000000" w:themeColor="text1"/>
          <w:sz w:val="32"/>
          <w:szCs w:val="32"/>
          <w:lang w:val="en-US" w:eastAsia="zh-CN"/>
          <w14:textFill>
            <w14:solidFill>
              <w14:schemeClr w14:val="tx1"/>
            </w14:solidFill>
          </w14:textFill>
        </w:rPr>
        <w:t>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w:t>
      </w:r>
      <w:r>
        <w:rPr>
          <w:rFonts w:hint="eastAsia" w:ascii="仿宋_GB2312" w:hAnsi="仿宋"/>
          <w:color w:val="000000" w:themeColor="text1"/>
          <w:sz w:val="32"/>
          <w:szCs w:val="32"/>
          <w:lang w:val="en-US" w:eastAsia="zh-CN"/>
          <w14:textFill>
            <w14:solidFill>
              <w14:schemeClr w14:val="tx1"/>
            </w14:solidFill>
          </w14:textFill>
        </w:rPr>
        <w:t>有2</w:t>
      </w:r>
      <w:r>
        <w:rPr>
          <w:rFonts w:hint="eastAsia" w:ascii="仿宋_GB2312" w:hAnsi="仿宋" w:eastAsia="仿宋_GB2312"/>
          <w:color w:val="000000" w:themeColor="text1"/>
          <w:sz w:val="32"/>
          <w:szCs w:val="32"/>
          <w14:textFill>
            <w14:solidFill>
              <w14:schemeClr w14:val="tx1"/>
            </w14:solidFill>
          </w14:textFill>
        </w:rPr>
        <w:t>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w:t>
      </w:r>
      <w:r>
        <w:rPr>
          <w:rFonts w:hint="eastAsia" w:ascii="仿宋_GB2312" w:hAnsi="仿宋"/>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个以上的样品检验结果位于m值和M值之间，则这种情况是不允许的；若有任一样品的检验结果大于M值（＞</w:t>
      </w:r>
      <w:r>
        <w:rPr>
          <w:rFonts w:hint="eastAsia" w:ascii="仿宋_GB2312" w:hAnsi="仿宋"/>
          <w:color w:val="000000" w:themeColor="text1"/>
          <w:sz w:val="32"/>
          <w:szCs w:val="32"/>
          <w:lang w:val="en-US" w:eastAsia="zh-CN"/>
          <w14:textFill>
            <w14:solidFill>
              <w14:schemeClr w14:val="tx1"/>
            </w14:solidFill>
          </w14:textFill>
        </w:rPr>
        <w:t>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lang w:val="en-US" w:eastAsia="zh-CN" w:bidi="ar-SA"/>
        </w:rPr>
        <w:t>。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spacing w:line="560" w:lineRule="exact"/>
        <w:ind w:firstLine="643"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（五）毒死蜱</w:t>
      </w:r>
    </w:p>
    <w:p>
      <w:pPr>
        <w:pStyle w:val="20"/>
        <w:spacing w:line="560" w:lineRule="exact"/>
        <w:ind w:firstLine="64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毒死蜱是一种具有触杀、胃毒和熏蒸作用的有机磷杀虫剂。《食品安全国家标准 食品中农药最大残留限量》（GB 2763-2021）中规定，</w:t>
      </w:r>
      <w:r>
        <w:rPr>
          <w:rFonts w:hint="eastAsia" w:ascii="仿宋_GB2312" w:hAnsi="仿宋" w:cs="Times New Roman"/>
          <w:color w:val="000000" w:themeColor="text1"/>
          <w:kern w:val="2"/>
          <w:sz w:val="32"/>
          <w:szCs w:val="32"/>
          <w:lang w:val="en-US" w:eastAsia="zh-CN" w:bidi="ar-SA"/>
          <w14:textFill>
            <w14:solidFill>
              <w14:schemeClr w14:val="tx1"/>
            </w14:solidFill>
          </w14:textFill>
        </w:rPr>
        <w:t>根茎类和薯芋类</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蔬菜的毒死蜱残留限量值</w:t>
      </w:r>
      <w:r>
        <w:rPr>
          <w:rFonts w:hint="eastAsia" w:ascii="仿宋_GB2312" w:hAnsi="仿宋" w:cs="Times New Roman"/>
          <w:color w:val="000000" w:themeColor="text1"/>
          <w:kern w:val="2"/>
          <w:sz w:val="32"/>
          <w:szCs w:val="32"/>
          <w:lang w:val="en-US" w:eastAsia="zh-CN" w:bidi="ar-SA"/>
          <w14:textFill>
            <w14:solidFill>
              <w14:schemeClr w14:val="tx1"/>
            </w14:solidFill>
          </w14:textFill>
        </w:rPr>
        <w:t>应</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0.02mg/kg。毒死蜱属中毒农药，在叶片上残留期一般为5至7天，在土壤中残留期较长，对鱼类及水生生物毒性较高，对蜜蜂有毒。长期暴露在含有毒死蜱的环境中，可能会导致神经毒性、生殖毒性，并会影响胚胎的生长发育。</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_GB2312"/>
          <w:b/>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六</w:t>
      </w:r>
      <w:r>
        <w:rPr>
          <w:rFonts w:hint="eastAsia" w:ascii="方正楷体_GB2312" w:hAnsi="方正楷体_GB2312" w:eastAsia="方正楷体_GB2312" w:cs="方正楷体_GB2312"/>
          <w:b/>
          <w:bCs w:val="0"/>
          <w:sz w:val="32"/>
          <w:szCs w:val="32"/>
          <w:lang w:val="zh-CN" w:eastAsia="zh-CN"/>
        </w:rPr>
        <w:t>）阴离子合成洗涤剂</w:t>
      </w:r>
      <w:r>
        <w:rPr>
          <w:rFonts w:hint="eastAsia" w:ascii="楷体_GB2312" w:hAnsi="楷体" w:eastAsia="楷体_GB2312" w:cs="仿宋_GB2312"/>
          <w:b/>
          <w:sz w:val="32"/>
          <w:szCs w:val="32"/>
          <w:lang w:val="zh-CN"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阴离子合成洗涤剂，即我们日常生活中经常用到的洗衣粉、洗洁精、洗衣液、肥皂等洗涤剂的主要成分，其起效成分十二烷基磺酸钠，是一种低毒物质,因其使用方便、易溶解、稳定性好、成本低等优点,在消毒企业中广泛使用。</w:t>
      </w:r>
      <w:r>
        <w:rPr>
          <w:rFonts w:hint="eastAsia" w:ascii="仿宋_GB2312" w:hAnsi="仿宋" w:eastAsia="仿宋_GB2312" w:cs="仿宋"/>
          <w:color w:val="auto"/>
          <w:kern w:val="2"/>
          <w:sz w:val="32"/>
          <w:szCs w:val="32"/>
          <w:lang w:val="zh-CN" w:eastAsia="zh-CN" w:bidi="ar-SA"/>
        </w:rPr>
        <w:t>食品安全国家标准 消毒餐（饮）具》（GB 14934</w:t>
      </w:r>
      <w:r>
        <w:rPr>
          <w:rFonts w:hint="eastAsia" w:ascii="仿宋_GB2312" w:hAnsi="仿宋" w:eastAsia="仿宋_GB2312" w:cs="仿宋"/>
          <w:color w:val="auto"/>
          <w:kern w:val="2"/>
          <w:sz w:val="32"/>
          <w:szCs w:val="32"/>
          <w:lang w:val="en-US" w:eastAsia="zh-CN" w:bidi="ar-SA"/>
        </w:rPr>
        <w:t>-</w:t>
      </w:r>
      <w:r>
        <w:rPr>
          <w:rFonts w:hint="eastAsia" w:ascii="仿宋_GB2312" w:hAnsi="仿宋" w:eastAsia="仿宋_GB2312" w:cs="仿宋"/>
          <w:color w:val="auto"/>
          <w:kern w:val="2"/>
          <w:sz w:val="32"/>
          <w:szCs w:val="32"/>
          <w:lang w:val="zh-CN" w:eastAsia="zh-CN" w:bidi="ar-SA"/>
        </w:rPr>
        <w:t>2016）中规定，消毒餐（饮）具中不得检出</w:t>
      </w:r>
      <w:r>
        <w:rPr>
          <w:rFonts w:hint="eastAsia" w:ascii="仿宋_GB2312" w:hAnsi="仿宋" w:eastAsia="仿宋_GB2312" w:cs="仿宋"/>
          <w:color w:val="auto"/>
          <w:kern w:val="2"/>
          <w:sz w:val="32"/>
          <w:szCs w:val="32"/>
          <w:lang w:val="en-US" w:eastAsia="zh-CN" w:bidi="ar-SA"/>
        </w:rPr>
        <w:t>阴离子合成洗涤剂(以十二烷基苯磺酸钠计)</w:t>
      </w:r>
      <w:r>
        <w:rPr>
          <w:rFonts w:hint="eastAsia" w:ascii="仿宋_GB2312" w:hAnsi="仿宋" w:eastAsia="仿宋_GB2312" w:cs="仿宋"/>
          <w:color w:val="auto"/>
          <w:kern w:val="2"/>
          <w:sz w:val="32"/>
          <w:szCs w:val="32"/>
          <w:lang w:val="zh-CN" w:eastAsia="zh-CN" w:bidi="ar-SA"/>
        </w:rPr>
        <w:t>。</w:t>
      </w:r>
      <w:r>
        <w:rPr>
          <w:rFonts w:hint="eastAsia" w:ascii="仿宋_GB2312" w:hAnsi="仿宋" w:eastAsia="仿宋_GB2312" w:cs="华文中宋"/>
          <w:color w:val="auto"/>
          <w:kern w:val="2"/>
          <w:sz w:val="32"/>
          <w:szCs w:val="32"/>
          <w:lang w:val="en-US" w:eastAsia="zh-CN" w:bidi="ar-SA"/>
        </w:rPr>
        <w:t>部分餐饮从业人员卫生意识不强，用洗涤剂浸泡餐（饮）具后，未用清水冲刷或者冲刷时间较短易导致洗涤剂残留。长期使用十二烷基苯磺酸钠超</w:t>
      </w:r>
      <w:r>
        <w:rPr>
          <w:rFonts w:hint="eastAsia" w:ascii="仿宋_GB2312" w:hAnsi="仿宋" w:eastAsia="仿宋_GB2312" w:cs="仿宋"/>
          <w:color w:val="auto"/>
          <w:kern w:val="2"/>
          <w:sz w:val="32"/>
          <w:szCs w:val="32"/>
          <w:lang w:val="en-US" w:eastAsia="zh-CN" w:bidi="ar-SA"/>
        </w:rPr>
        <w:t>标的餐（饮）具，可能容易引起呼吸系统过敏性反应。</w:t>
      </w:r>
    </w:p>
    <w:p>
      <w:pPr>
        <w:spacing w:line="560" w:lineRule="exact"/>
        <w:ind w:firstLine="643"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七</w:t>
      </w:r>
      <w:r>
        <w:rPr>
          <w:rFonts w:hint="eastAsia" w:ascii="方正楷体_GB2312" w:hAnsi="方正楷体_GB2312" w:eastAsia="方正楷体_GB2312" w:cs="方正楷体_GB2312"/>
          <w:b/>
          <w:bCs w:val="0"/>
          <w:sz w:val="32"/>
          <w:szCs w:val="32"/>
          <w:lang w:val="zh-CN" w:eastAsia="zh-CN"/>
        </w:rPr>
        <w:t>）镉（以Cd计）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镉（以Cd计）是最常见的重金属元素污染物之一。《食品安全国家标准</w:t>
      </w:r>
      <w:r>
        <w:rPr>
          <w:rFonts w:hint="eastAsia" w:ascii="仿宋_GB2312" w:hAnsi="仿宋" w:cs="仿宋"/>
          <w:color w:val="auto"/>
          <w:kern w:val="2"/>
          <w:sz w:val="32"/>
          <w:szCs w:val="32"/>
          <w:lang w:val="en-US" w:eastAsia="zh-CN" w:bidi="ar-SA"/>
        </w:rPr>
        <w:t xml:space="preserve"> </w:t>
      </w:r>
      <w:r>
        <w:rPr>
          <w:rFonts w:hint="eastAsia" w:ascii="仿宋_GB2312" w:hAnsi="仿宋" w:eastAsia="仿宋_GB2312" w:cs="仿宋"/>
          <w:color w:val="auto"/>
          <w:kern w:val="2"/>
          <w:sz w:val="32"/>
          <w:szCs w:val="32"/>
          <w:lang w:val="en-US" w:eastAsia="zh-CN" w:bidi="ar-SA"/>
        </w:rPr>
        <w:t>食品中污染物限量》（GB 2762</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2017）中规定，镉（以Cd计）在鲜、冻水产动物的甲壳类中最大限量为0.5mg/kg。水产品中镉（以Cd计）超标可能是水产品养殖过程中对环境中镉元素的富集。镉对人体的危害主要是慢性蓄积性，长期大量摄入镉含量超标的食品可能导致肾和骨骼损伤等。</w:t>
      </w:r>
    </w:p>
    <w:p>
      <w:pPr>
        <w:spacing w:line="560" w:lineRule="exact"/>
        <w:ind w:firstLine="643"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（八）极性组分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食用植物油经高温加热和反复使用后可发生—系列化学反应。在营养价值下降的同时还会产生某些毒性物质，如丙烯酰胺、多环芳烃、醛基和羰基物质等，这些物质的增加，可使油的物理极性增加，由此又将这些物质称为极性物质。油的不饱和程度越高、油温越高、反复煎炸的次数越多、极性物质产生和增加的也就越多。《食品安全国家标准 植物油》（GB 2716-2018）中规定，植物油的极性组分应≤27 %。植物油中极性组分超标不仅影响油脂本身的品质和风味，还</w:t>
      </w:r>
      <w:r>
        <w:rPr>
          <w:rFonts w:hint="eastAsia" w:ascii="仿宋_GB2312" w:hAnsi="仿宋" w:cs="仿宋"/>
          <w:color w:val="auto"/>
          <w:kern w:val="2"/>
          <w:sz w:val="32"/>
          <w:szCs w:val="32"/>
          <w:lang w:val="en-US" w:eastAsia="zh-CN" w:bidi="ar-SA"/>
        </w:rPr>
        <w:t>可能</w:t>
      </w:r>
      <w:r>
        <w:rPr>
          <w:rFonts w:hint="eastAsia" w:ascii="仿宋_GB2312" w:hAnsi="仿宋" w:eastAsia="仿宋_GB2312" w:cs="仿宋"/>
          <w:color w:val="auto"/>
          <w:kern w:val="2"/>
          <w:sz w:val="32"/>
          <w:szCs w:val="32"/>
          <w:lang w:val="en-US" w:eastAsia="zh-CN" w:bidi="ar-SA"/>
        </w:rPr>
        <w:t>对人体健康有害，如使动物生长停滞、肝脏肿大、肝功能发生障碍等。</w:t>
      </w:r>
    </w:p>
    <w:p>
      <w:pPr>
        <w:pStyle w:val="2"/>
        <w:ind w:firstLine="643" w:firstLineChars="200"/>
        <w:rPr>
          <w:rFonts w:hint="default" w:ascii="方正楷体_GB2312" w:hAnsi="方正楷体_GB2312" w:eastAsia="方正楷体_GB2312" w:cs="方正楷体_GB2312"/>
          <w:b/>
          <w:bCs w:val="0"/>
          <w:kern w:val="2"/>
          <w:sz w:val="32"/>
          <w:szCs w:val="32"/>
          <w:lang w:val="en-US" w:eastAsia="zh-CN" w:bidi="ar-SA"/>
        </w:rPr>
      </w:pPr>
      <w:r>
        <w:rPr>
          <w:rFonts w:hint="eastAsia" w:ascii="方正楷体_GB2312" w:hAnsi="方正楷体_GB2312" w:eastAsia="方正楷体_GB2312" w:cs="方正楷体_GB2312"/>
          <w:b/>
          <w:bCs w:val="0"/>
          <w:kern w:val="2"/>
          <w:sz w:val="32"/>
          <w:szCs w:val="32"/>
          <w:lang w:val="en-US" w:eastAsia="zh-CN" w:bidi="ar-SA"/>
        </w:rPr>
        <w:t>（九）锶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锶是一种银白色带黄色光泽的</w:t>
      </w:r>
      <w:r>
        <w:rPr>
          <w:rFonts w:hint="default" w:ascii="仿宋_GB2312" w:hAnsi="仿宋" w:eastAsia="仿宋_GB2312" w:cs="仿宋"/>
          <w:color w:val="auto"/>
          <w:kern w:val="2"/>
          <w:sz w:val="32"/>
          <w:szCs w:val="32"/>
          <w:u w:val="none"/>
          <w:lang w:val="en-US" w:eastAsia="zh-CN" w:bidi="ar-SA"/>
        </w:rPr>
        <w:t>碱土金属</w:t>
      </w:r>
      <w:r>
        <w:rPr>
          <w:rFonts w:hint="default" w:ascii="仿宋_GB2312" w:hAnsi="仿宋" w:eastAsia="仿宋_GB2312" w:cs="仿宋"/>
          <w:color w:val="auto"/>
          <w:kern w:val="2"/>
          <w:sz w:val="32"/>
          <w:szCs w:val="32"/>
          <w:lang w:val="en-US" w:eastAsia="zh-CN" w:bidi="ar-SA"/>
        </w:rPr>
        <w:t>。锶元素广泛存在</w:t>
      </w:r>
      <w:r>
        <w:rPr>
          <w:rFonts w:hint="eastAsia" w:ascii="仿宋_GB2312" w:hAnsi="仿宋" w:cs="仿宋"/>
          <w:color w:val="auto"/>
          <w:kern w:val="2"/>
          <w:sz w:val="32"/>
          <w:szCs w:val="32"/>
          <w:lang w:val="en-US" w:eastAsia="zh-CN" w:bidi="ar-SA"/>
        </w:rPr>
        <w:t>与</w:t>
      </w:r>
      <w:r>
        <w:rPr>
          <w:rFonts w:hint="default" w:ascii="仿宋_GB2312" w:hAnsi="仿宋" w:eastAsia="仿宋_GB2312" w:cs="仿宋"/>
          <w:color w:val="auto"/>
          <w:kern w:val="2"/>
          <w:sz w:val="32"/>
          <w:szCs w:val="32"/>
          <w:lang w:val="en-US" w:eastAsia="zh-CN" w:bidi="ar-SA"/>
        </w:rPr>
        <w:t>土壤、海水中，是一种</w:t>
      </w:r>
      <w:r>
        <w:rPr>
          <w:rFonts w:hint="default" w:ascii="仿宋_GB2312" w:hAnsi="仿宋" w:eastAsia="仿宋_GB2312" w:cs="仿宋"/>
          <w:color w:val="auto"/>
          <w:kern w:val="2"/>
          <w:sz w:val="32"/>
          <w:szCs w:val="32"/>
          <w:u w:val="none"/>
          <w:lang w:val="en-US" w:eastAsia="zh-CN" w:bidi="ar-SA"/>
        </w:rPr>
        <w:t>微量元素</w:t>
      </w:r>
      <w:r>
        <w:rPr>
          <w:rFonts w:hint="default" w:ascii="仿宋_GB2312" w:hAnsi="仿宋" w:eastAsia="仿宋_GB2312" w:cs="仿宋"/>
          <w:color w:val="auto"/>
          <w:kern w:val="2"/>
          <w:sz w:val="32"/>
          <w:szCs w:val="32"/>
          <w:lang w:val="en-US" w:eastAsia="zh-CN" w:bidi="ar-SA"/>
        </w:rPr>
        <w:t>，具有防止动脉硬化，防止血栓形成的功能。</w:t>
      </w:r>
      <w:r>
        <w:rPr>
          <w:rFonts w:hint="eastAsia" w:ascii="仿宋_GB2312" w:hAnsi="仿宋" w:eastAsia="仿宋_GB2312" w:cs="仿宋"/>
          <w:color w:val="auto"/>
          <w:kern w:val="2"/>
          <w:sz w:val="32"/>
          <w:szCs w:val="32"/>
          <w:lang w:val="en-US" w:eastAsia="zh-CN" w:bidi="ar-SA"/>
        </w:rPr>
        <w:t>锶是评价矿泉水水质最常用、最重</w:t>
      </w:r>
      <w:bookmarkStart w:id="0" w:name="_GoBack"/>
      <w:bookmarkEnd w:id="0"/>
      <w:r>
        <w:rPr>
          <w:rFonts w:hint="eastAsia" w:ascii="仿宋_GB2312" w:hAnsi="仿宋" w:eastAsia="仿宋_GB2312" w:cs="仿宋"/>
          <w:color w:val="auto"/>
          <w:kern w:val="2"/>
          <w:sz w:val="32"/>
          <w:szCs w:val="32"/>
          <w:lang w:val="en-US" w:eastAsia="zh-CN" w:bidi="ar-SA"/>
        </w:rPr>
        <w:t>要的界限指标之一。</w:t>
      </w:r>
      <w:r>
        <w:rPr>
          <w:rFonts w:hint="eastAsia" w:ascii="仿宋_GB2312" w:hAnsi="仿宋" w:eastAsia="仿宋_GB2312" w:cs="仿宋"/>
          <w:color w:val="auto"/>
          <w:kern w:val="2"/>
          <w:sz w:val="32"/>
          <w:szCs w:val="32"/>
          <w:lang w:val="zh-CN" w:eastAsia="zh-CN" w:bidi="ar-SA"/>
        </w:rPr>
        <w:t>本次不合格矿泉水</w:t>
      </w:r>
      <w:r>
        <w:rPr>
          <w:rFonts w:hint="eastAsia" w:ascii="仿宋_GB2312" w:hAnsi="仿宋" w:eastAsia="仿宋_GB2312" w:cs="仿宋"/>
          <w:color w:val="auto"/>
          <w:kern w:val="2"/>
          <w:sz w:val="32"/>
          <w:szCs w:val="32"/>
          <w:lang w:val="en-US" w:eastAsia="zh-CN" w:bidi="ar-SA"/>
        </w:rPr>
        <w:t>锶</w:t>
      </w:r>
      <w:r>
        <w:rPr>
          <w:rFonts w:hint="eastAsia" w:ascii="仿宋_GB2312" w:hAnsi="仿宋" w:eastAsia="仿宋_GB2312" w:cs="仿宋"/>
          <w:color w:val="auto"/>
          <w:kern w:val="2"/>
          <w:sz w:val="32"/>
          <w:szCs w:val="32"/>
          <w:lang w:val="zh-CN" w:eastAsia="zh-CN" w:bidi="ar-SA"/>
        </w:rPr>
        <w:t>不符合产品标签标示值的要求。</w:t>
      </w:r>
      <w:r>
        <w:rPr>
          <w:rFonts w:hint="eastAsia" w:ascii="仿宋_GB2312" w:hAnsi="仿宋" w:eastAsia="仿宋_GB2312" w:cs="仿宋"/>
          <w:color w:val="auto"/>
          <w:kern w:val="2"/>
          <w:sz w:val="32"/>
          <w:szCs w:val="32"/>
          <w:lang w:val="en-US" w:eastAsia="zh-CN" w:bidi="ar-SA"/>
        </w:rPr>
        <w:t>造成锶不合格的原因可能是饮用天然矿泉水在生产加工过程中处理不当，导致终产品中界限指标</w:t>
      </w:r>
      <w:r>
        <w:rPr>
          <w:rFonts w:hint="eastAsia" w:ascii="仿宋_GB2312" w:hAnsi="仿宋" w:cs="仿宋"/>
          <w:color w:val="auto"/>
          <w:kern w:val="2"/>
          <w:sz w:val="32"/>
          <w:szCs w:val="32"/>
          <w:lang w:val="en-US" w:eastAsia="zh-CN" w:bidi="ar-SA"/>
        </w:rPr>
        <w:t>不合格</w:t>
      </w:r>
      <w:r>
        <w:rPr>
          <w:rFonts w:hint="eastAsia" w:ascii="仿宋_GB2312" w:hAnsi="仿宋" w:eastAsia="仿宋_GB2312" w:cs="仿宋"/>
          <w:color w:val="auto"/>
          <w:kern w:val="2"/>
          <w:sz w:val="32"/>
          <w:szCs w:val="32"/>
          <w:lang w:val="en-US" w:eastAsia="zh-CN" w:bidi="ar-SA"/>
        </w:rPr>
        <w:t>；也可能是水源</w:t>
      </w:r>
      <w:r>
        <w:rPr>
          <w:rFonts w:hint="eastAsia" w:ascii="仿宋_GB2312" w:hAnsi="仿宋" w:cs="仿宋"/>
          <w:color w:val="auto"/>
          <w:kern w:val="2"/>
          <w:sz w:val="32"/>
          <w:szCs w:val="32"/>
          <w:lang w:val="en-US" w:eastAsia="zh-CN" w:bidi="ar-SA"/>
        </w:rPr>
        <w:t>水本身的</w:t>
      </w:r>
      <w:r>
        <w:rPr>
          <w:rFonts w:hint="eastAsia" w:ascii="仿宋_GB2312" w:hAnsi="仿宋" w:eastAsia="仿宋_GB2312" w:cs="仿宋"/>
          <w:color w:val="auto"/>
          <w:kern w:val="2"/>
          <w:sz w:val="32"/>
          <w:szCs w:val="32"/>
          <w:lang w:val="en-US" w:eastAsia="zh-CN" w:bidi="ar-SA"/>
        </w:rPr>
        <w:t>界限指标含量</w:t>
      </w:r>
      <w:r>
        <w:rPr>
          <w:rFonts w:hint="eastAsia" w:ascii="仿宋_GB2312" w:hAnsi="仿宋" w:cs="仿宋"/>
          <w:color w:val="auto"/>
          <w:kern w:val="2"/>
          <w:sz w:val="32"/>
          <w:szCs w:val="32"/>
          <w:lang w:val="en-US" w:eastAsia="zh-CN" w:bidi="ar-SA"/>
        </w:rPr>
        <w:t>不稳定有偏差</w:t>
      </w:r>
      <w:r>
        <w:rPr>
          <w:rFonts w:hint="eastAsia" w:ascii="仿宋_GB2312" w:hAnsi="仿宋" w:eastAsia="仿宋_GB2312" w:cs="仿宋"/>
          <w:color w:val="auto"/>
          <w:kern w:val="2"/>
          <w:sz w:val="32"/>
          <w:szCs w:val="32"/>
          <w:lang w:val="en-US" w:eastAsia="zh-CN" w:bidi="ar-SA"/>
        </w:rPr>
        <w:t>，</w:t>
      </w:r>
      <w:r>
        <w:rPr>
          <w:rFonts w:hint="eastAsia" w:ascii="仿宋_GB2312" w:hAnsi="仿宋" w:cs="仿宋"/>
          <w:color w:val="auto"/>
          <w:kern w:val="2"/>
          <w:sz w:val="32"/>
          <w:szCs w:val="32"/>
          <w:lang w:val="en-US" w:eastAsia="zh-CN" w:bidi="ar-SA"/>
        </w:rPr>
        <w:t>而</w:t>
      </w:r>
      <w:r>
        <w:rPr>
          <w:rFonts w:hint="eastAsia" w:ascii="仿宋_GB2312" w:hAnsi="仿宋" w:eastAsia="仿宋_GB2312" w:cs="仿宋"/>
          <w:color w:val="auto"/>
          <w:kern w:val="2"/>
          <w:sz w:val="32"/>
          <w:szCs w:val="32"/>
          <w:lang w:val="en-US" w:eastAsia="zh-CN" w:bidi="ar-SA"/>
        </w:rPr>
        <w:t>企业出厂检验不严格</w:t>
      </w:r>
      <w:r>
        <w:rPr>
          <w:rFonts w:hint="eastAsia" w:ascii="仿宋_GB2312" w:hAnsi="仿宋" w:cs="仿宋"/>
          <w:color w:val="auto"/>
          <w:kern w:val="2"/>
          <w:sz w:val="32"/>
          <w:szCs w:val="32"/>
          <w:lang w:val="en-US" w:eastAsia="zh-CN" w:bidi="ar-SA"/>
        </w:rPr>
        <w:t>导致</w:t>
      </w:r>
      <w:r>
        <w:rPr>
          <w:rFonts w:hint="eastAsia" w:ascii="仿宋_GB2312" w:hAnsi="仿宋" w:eastAsia="仿宋_GB2312" w:cs="仿宋"/>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（十）脱氢乙酸及其钠盐</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sz w:val="32"/>
          <w:szCs w:val="32"/>
          <w:lang w:val="en-US" w:eastAsia="zh-CN"/>
        </w:rPr>
        <w:t>糕点</w:t>
      </w:r>
      <w:r>
        <w:rPr>
          <w:rFonts w:hint="eastAsia" w:ascii="仿宋_GB2312" w:hAnsi="仿宋" w:eastAsia="仿宋_GB2312"/>
          <w:sz w:val="32"/>
          <w:szCs w:val="32"/>
        </w:rPr>
        <w:t>中脱氢乙酸及其钠盐(以脱氢乙酸计)</w:t>
      </w:r>
      <w:r>
        <w:rPr>
          <w:rFonts w:hint="eastAsia" w:ascii="仿宋_GB2312" w:hAnsi="仿宋"/>
          <w:sz w:val="32"/>
          <w:szCs w:val="32"/>
          <w:lang w:val="en-US" w:eastAsia="zh-CN"/>
        </w:rPr>
        <w:t>应</w:t>
      </w:r>
      <w:r>
        <w:rPr>
          <w:rFonts w:hint="eastAsia" w:ascii="仿宋_GB2312" w:hAnsi="仿宋" w:eastAsia="仿宋_GB2312"/>
          <w:sz w:val="32"/>
          <w:szCs w:val="32"/>
        </w:rPr>
        <w:t>≤0.5g/kg</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脱氢乙酸毒性较低，按标准规定的范围和使用量使用是安全的。</w:t>
      </w:r>
      <w:r>
        <w:rPr>
          <w:rFonts w:hint="eastAsia" w:ascii="仿宋_GB2312" w:hAnsi="仿宋"/>
          <w:color w:val="auto"/>
          <w:sz w:val="32"/>
          <w:szCs w:val="32"/>
          <w:lang w:val="en-US" w:eastAsia="zh-CN"/>
        </w:rPr>
        <w:t>由于</w:t>
      </w:r>
      <w:r>
        <w:rPr>
          <w:rFonts w:hint="eastAsia" w:ascii="仿宋_GB2312" w:hAnsi="仿宋" w:eastAsia="仿宋_GB2312"/>
          <w:color w:val="auto"/>
          <w:sz w:val="32"/>
          <w:szCs w:val="32"/>
          <w:lang w:val="en-US" w:eastAsia="zh-CN"/>
        </w:rPr>
        <w:t xml:space="preserve">脱氢乙酸及其钠盐能被人体完全吸收，并能抑制人体内多种氧化酶，长期过量摄入脱氢乙酸及其钠盐会危害人体健康。 </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w:t>
      </w:r>
      <w:r>
        <w:rPr>
          <w:rFonts w:hint="eastAsia" w:eastAsia="仿宋_GB2312"/>
          <w:color w:val="auto"/>
          <w:sz w:val="32"/>
          <w:szCs w:val="32"/>
          <w:lang w:eastAsia="zh-CN"/>
        </w:rPr>
        <w:t>及</w:t>
      </w:r>
      <w:r>
        <w:rPr>
          <w:rFonts w:hint="eastAsia" w:eastAsia="仿宋_GB2312"/>
          <w:color w:val="auto"/>
          <w:sz w:val="32"/>
          <w:szCs w:val="32"/>
        </w:rPr>
        <w:t>健全产品召回机制，</w:t>
      </w:r>
      <w:r>
        <w:rPr>
          <w:rFonts w:hint="eastAsia" w:eastAsia="仿宋_GB2312"/>
          <w:color w:val="auto"/>
          <w:sz w:val="32"/>
          <w:szCs w:val="32"/>
          <w:lang w:eastAsia="zh-CN"/>
        </w:rPr>
        <w:t>以</w:t>
      </w:r>
      <w:r>
        <w:rPr>
          <w:rFonts w:hint="eastAsia" w:eastAsia="仿宋_GB2312"/>
          <w:color w:val="auto"/>
          <w:sz w:val="32"/>
          <w:szCs w:val="32"/>
        </w:rPr>
        <w:t>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0" w:leftChars="200" w:firstLine="0" w:firstLineChars="0"/>
        <w:jc w:val="both"/>
        <w:textAlignment w:val="auto"/>
        <w:rPr>
          <w:rStyle w:val="14"/>
          <w:rFonts w:hint="eastAsia" w:ascii="楷体_GB2312" w:hAnsi="楷体" w:eastAsia="楷体_GB2312" w:cs="Times New Roman"/>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五</w:t>
      </w:r>
      <w:r>
        <w:rPr>
          <w:rStyle w:val="14"/>
          <w:rFonts w:hint="eastAsia" w:ascii="楷体_GB2312" w:hAnsi="楷体" w:eastAsia="楷体_GB2312"/>
          <w:color w:val="auto"/>
          <w:sz w:val="32"/>
          <w:szCs w:val="32"/>
          <w:highlight w:val="none"/>
        </w:rPr>
        <w:t>）</w:t>
      </w:r>
      <w:r>
        <w:rPr>
          <w:rStyle w:val="14"/>
          <w:rFonts w:hint="eastAsia" w:ascii="楷体_GB2312" w:hAnsi="楷体" w:eastAsia="楷体_GB2312" w:cs="Times New Roman"/>
          <w:color w:val="auto"/>
          <w:sz w:val="32"/>
          <w:szCs w:val="32"/>
          <w:highlight w:val="none"/>
        </w:rPr>
        <w:t>规范</w:t>
      </w:r>
      <w:r>
        <w:rPr>
          <w:rStyle w:val="14"/>
          <w:rFonts w:hint="eastAsia" w:ascii="楷体_GB2312" w:hAnsi="楷体" w:eastAsia="楷体_GB2312" w:cs="Times New Roman"/>
          <w:color w:val="auto"/>
          <w:sz w:val="32"/>
          <w:szCs w:val="32"/>
          <w:highlight w:val="none"/>
          <w:lang w:eastAsia="zh-CN"/>
        </w:rPr>
        <w:t>食用农产品</w:t>
      </w:r>
      <w:r>
        <w:rPr>
          <w:rStyle w:val="14"/>
          <w:rFonts w:hint="eastAsia" w:ascii="楷体_GB2312" w:hAnsi="楷体" w:eastAsia="楷体_GB2312" w:cs="Times New Roman"/>
          <w:color w:val="auto"/>
          <w:sz w:val="32"/>
          <w:szCs w:val="32"/>
          <w:highlight w:val="none"/>
        </w:rPr>
        <w:t>药物</w:t>
      </w:r>
      <w:r>
        <w:rPr>
          <w:rStyle w:val="14"/>
          <w:rFonts w:hint="eastAsia" w:ascii="楷体_GB2312" w:hAnsi="楷体" w:eastAsia="楷体_GB2312" w:cs="Times New Roman"/>
          <w:color w:val="auto"/>
          <w:sz w:val="32"/>
          <w:szCs w:val="32"/>
          <w:highlight w:val="none"/>
          <w:lang w:eastAsia="zh-CN"/>
        </w:rPr>
        <w:t>的</w:t>
      </w:r>
      <w:r>
        <w:rPr>
          <w:rStyle w:val="14"/>
          <w:rFonts w:hint="eastAsia" w:ascii="楷体_GB2312" w:hAnsi="楷体" w:eastAsia="楷体_GB2312" w:cs="Times New Roman"/>
          <w:color w:val="auto"/>
          <w:sz w:val="32"/>
          <w:szCs w:val="32"/>
          <w:highlight w:val="none"/>
        </w:rPr>
        <w:t>使用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4B8CA2-67CA-4F3E-97D8-AC84F76D68F9}"/>
  </w:font>
  <w:font w:name="黑体">
    <w:panose1 w:val="02010609060101010101"/>
    <w:charset w:val="86"/>
    <w:family w:val="auto"/>
    <w:pitch w:val="default"/>
    <w:sig w:usb0="800002BF" w:usb1="38CF7CFA" w:usb2="00000016" w:usb3="00000000" w:csb0="00040001" w:csb1="00000000"/>
    <w:embedRegular r:id="rId2" w:fontKey="{384B8CFD-2470-4AC6-9232-42A5A00314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7BE67D9-48E6-4138-A5CC-BAD03FAF7180}"/>
  </w:font>
  <w:font w:name="楷体_GB2312">
    <w:altName w:val="楷体"/>
    <w:panose1 w:val="02010609030101010101"/>
    <w:charset w:val="86"/>
    <w:family w:val="auto"/>
    <w:pitch w:val="default"/>
    <w:sig w:usb0="00000000" w:usb1="00000000" w:usb2="00000000" w:usb3="00000000" w:csb0="00040000" w:csb1="00000000"/>
    <w:embedRegular r:id="rId4" w:fontKey="{4C4C2313-42AF-4F81-96A3-E232AFD20EBF}"/>
  </w:font>
  <w:font w:name="楷体">
    <w:panose1 w:val="02010609060101010101"/>
    <w:charset w:val="86"/>
    <w:family w:val="auto"/>
    <w:pitch w:val="default"/>
    <w:sig w:usb0="800002BF" w:usb1="38CF7CFA" w:usb2="00000016" w:usb3="00000000" w:csb0="00040001" w:csb1="00000000"/>
    <w:embedRegular r:id="rId5" w:fontKey="{C425175D-FAE9-4038-80A3-6AE794ED08A7}"/>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6" w:fontKey="{682E3B2D-7A12-4ECA-9595-82034F01DE5A}"/>
  </w:font>
  <w:font w:name="华文中宋">
    <w:panose1 w:val="02010600040101010101"/>
    <w:charset w:val="86"/>
    <w:family w:val="auto"/>
    <w:pitch w:val="default"/>
    <w:sig w:usb0="00000287" w:usb1="080F0000" w:usb2="00000000" w:usb3="00000000" w:csb0="0004009F" w:csb1="DFD70000"/>
    <w:embedRegular r:id="rId7" w:fontKey="{06FA0135-CB45-444C-90E6-197A37E0CCEA}"/>
  </w:font>
  <w:font w:name="仿宋">
    <w:panose1 w:val="02010609060101010101"/>
    <w:charset w:val="86"/>
    <w:family w:val="modern"/>
    <w:pitch w:val="default"/>
    <w:sig w:usb0="800002BF" w:usb1="38CF7CFA" w:usb2="00000016" w:usb3="00000000" w:csb0="00040001" w:csb1="00000000"/>
    <w:embedRegular r:id="rId8" w:fontKey="{5C6E7CFD-6E52-4DC5-8E6F-D94A64C08093}"/>
  </w:font>
  <w:font w:name="方正楷体_GB2312">
    <w:panose1 w:val="02000000000000000000"/>
    <w:charset w:val="86"/>
    <w:family w:val="auto"/>
    <w:pitch w:val="default"/>
    <w:sig w:usb0="A00002BF" w:usb1="184F6CFA" w:usb2="00000012" w:usb3="00000000" w:csb0="00040001" w:csb1="00000000"/>
    <w:embedRegular r:id="rId9" w:fontKey="{404CEF52-E34A-4AB5-A32E-3A56493EEB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MWMxYTRiYWJlNTk0MzI4MzMxZDE2MmQ2NjQ2ZDcifQ=="/>
  </w:docVars>
  <w:rsids>
    <w:rsidRoot w:val="010D4506"/>
    <w:rsid w:val="000139C9"/>
    <w:rsid w:val="005363F0"/>
    <w:rsid w:val="006B1DCC"/>
    <w:rsid w:val="00724BD2"/>
    <w:rsid w:val="008D6C99"/>
    <w:rsid w:val="00B977A2"/>
    <w:rsid w:val="00BE4BAD"/>
    <w:rsid w:val="00CD6745"/>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B38E6"/>
    <w:rsid w:val="08AD06EB"/>
    <w:rsid w:val="08F00F9F"/>
    <w:rsid w:val="091C5D20"/>
    <w:rsid w:val="099F35F4"/>
    <w:rsid w:val="0A101FAB"/>
    <w:rsid w:val="0A416AB6"/>
    <w:rsid w:val="0A545255"/>
    <w:rsid w:val="0AEA5DCE"/>
    <w:rsid w:val="0B5F7337"/>
    <w:rsid w:val="0B66492E"/>
    <w:rsid w:val="0B6F4B3F"/>
    <w:rsid w:val="0B9C34ED"/>
    <w:rsid w:val="0C083FBC"/>
    <w:rsid w:val="0C0C4E1D"/>
    <w:rsid w:val="0C455D22"/>
    <w:rsid w:val="0C6F4539"/>
    <w:rsid w:val="0C760736"/>
    <w:rsid w:val="0CBF772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803E88"/>
    <w:rsid w:val="139A1CB2"/>
    <w:rsid w:val="13E774D5"/>
    <w:rsid w:val="141B2394"/>
    <w:rsid w:val="14292A97"/>
    <w:rsid w:val="1499532A"/>
    <w:rsid w:val="1512088F"/>
    <w:rsid w:val="155219D3"/>
    <w:rsid w:val="15FE7C46"/>
    <w:rsid w:val="16396F4B"/>
    <w:rsid w:val="164E1FAB"/>
    <w:rsid w:val="165773C2"/>
    <w:rsid w:val="16A102CE"/>
    <w:rsid w:val="16A52765"/>
    <w:rsid w:val="176818BF"/>
    <w:rsid w:val="17AE2E53"/>
    <w:rsid w:val="17C62E78"/>
    <w:rsid w:val="17CA0823"/>
    <w:rsid w:val="17FA5E44"/>
    <w:rsid w:val="181E6360"/>
    <w:rsid w:val="182C56B9"/>
    <w:rsid w:val="18F91C2D"/>
    <w:rsid w:val="18FA3DC4"/>
    <w:rsid w:val="199008F8"/>
    <w:rsid w:val="19EB104A"/>
    <w:rsid w:val="1A19393D"/>
    <w:rsid w:val="1A2F146E"/>
    <w:rsid w:val="1A81096D"/>
    <w:rsid w:val="1A84029D"/>
    <w:rsid w:val="1AB574C5"/>
    <w:rsid w:val="1AC759AF"/>
    <w:rsid w:val="1AE32ACD"/>
    <w:rsid w:val="1B042E72"/>
    <w:rsid w:val="1B7E0D88"/>
    <w:rsid w:val="1C2B3ECE"/>
    <w:rsid w:val="1C354059"/>
    <w:rsid w:val="1D3C0F36"/>
    <w:rsid w:val="1D3D5D17"/>
    <w:rsid w:val="1DB57EDF"/>
    <w:rsid w:val="1E3C794C"/>
    <w:rsid w:val="1EFD4E3F"/>
    <w:rsid w:val="1F120F82"/>
    <w:rsid w:val="1F456A61"/>
    <w:rsid w:val="1FEA3D63"/>
    <w:rsid w:val="200B2815"/>
    <w:rsid w:val="20303594"/>
    <w:rsid w:val="208760C8"/>
    <w:rsid w:val="208E2538"/>
    <w:rsid w:val="2103478D"/>
    <w:rsid w:val="21415B46"/>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11326E"/>
    <w:rsid w:val="2928376B"/>
    <w:rsid w:val="29292876"/>
    <w:rsid w:val="295771E6"/>
    <w:rsid w:val="29DF09A6"/>
    <w:rsid w:val="2A012B32"/>
    <w:rsid w:val="2A2E5413"/>
    <w:rsid w:val="2A706ED1"/>
    <w:rsid w:val="2A95365C"/>
    <w:rsid w:val="2ACC6C6B"/>
    <w:rsid w:val="2B0D6532"/>
    <w:rsid w:val="2BA5399C"/>
    <w:rsid w:val="2C6F3579"/>
    <w:rsid w:val="2C784420"/>
    <w:rsid w:val="2D145EC5"/>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8E513C"/>
    <w:rsid w:val="34A77C54"/>
    <w:rsid w:val="34B74329"/>
    <w:rsid w:val="34FF4C0B"/>
    <w:rsid w:val="354F3FC5"/>
    <w:rsid w:val="35BC7A15"/>
    <w:rsid w:val="36A26439"/>
    <w:rsid w:val="36A86284"/>
    <w:rsid w:val="36CA36E0"/>
    <w:rsid w:val="372845B2"/>
    <w:rsid w:val="37790A88"/>
    <w:rsid w:val="3787038C"/>
    <w:rsid w:val="37CC35F3"/>
    <w:rsid w:val="37DD6246"/>
    <w:rsid w:val="37FC2378"/>
    <w:rsid w:val="382D7593"/>
    <w:rsid w:val="38622AFA"/>
    <w:rsid w:val="387272BF"/>
    <w:rsid w:val="38865B2F"/>
    <w:rsid w:val="38E250CA"/>
    <w:rsid w:val="391B060E"/>
    <w:rsid w:val="39264334"/>
    <w:rsid w:val="39275408"/>
    <w:rsid w:val="3949339B"/>
    <w:rsid w:val="39824C43"/>
    <w:rsid w:val="398B0B0F"/>
    <w:rsid w:val="39C64A66"/>
    <w:rsid w:val="3AB301FA"/>
    <w:rsid w:val="3B1904CB"/>
    <w:rsid w:val="3B2518DE"/>
    <w:rsid w:val="3B504FA6"/>
    <w:rsid w:val="3BAB1A67"/>
    <w:rsid w:val="3BFE4DC9"/>
    <w:rsid w:val="3C064771"/>
    <w:rsid w:val="3C8F2962"/>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BDC5663"/>
    <w:rsid w:val="4C7A639D"/>
    <w:rsid w:val="4CE91A69"/>
    <w:rsid w:val="4CF5205D"/>
    <w:rsid w:val="4DAC348D"/>
    <w:rsid w:val="4E0D626A"/>
    <w:rsid w:val="4E183BFE"/>
    <w:rsid w:val="4E403AAD"/>
    <w:rsid w:val="4EAD6BF5"/>
    <w:rsid w:val="4EBC0748"/>
    <w:rsid w:val="4ECB0493"/>
    <w:rsid w:val="4ECC3762"/>
    <w:rsid w:val="4F2F4720"/>
    <w:rsid w:val="4F4940D8"/>
    <w:rsid w:val="4FE23640"/>
    <w:rsid w:val="4FED4605"/>
    <w:rsid w:val="50023AE7"/>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4AF0073"/>
    <w:rsid w:val="550906E8"/>
    <w:rsid w:val="551B6EF1"/>
    <w:rsid w:val="552160C4"/>
    <w:rsid w:val="557E5EAF"/>
    <w:rsid w:val="55961D9B"/>
    <w:rsid w:val="55F22D46"/>
    <w:rsid w:val="56A81B8F"/>
    <w:rsid w:val="56D02FB6"/>
    <w:rsid w:val="56FE090D"/>
    <w:rsid w:val="5737759B"/>
    <w:rsid w:val="577D74E9"/>
    <w:rsid w:val="57FE2087"/>
    <w:rsid w:val="586B71C9"/>
    <w:rsid w:val="590154BD"/>
    <w:rsid w:val="59527B6B"/>
    <w:rsid w:val="59956CCF"/>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D4855"/>
    <w:rsid w:val="5E9E3209"/>
    <w:rsid w:val="5EB7431F"/>
    <w:rsid w:val="5ECD4C7F"/>
    <w:rsid w:val="5EEC66E6"/>
    <w:rsid w:val="5F093C78"/>
    <w:rsid w:val="5F5A1107"/>
    <w:rsid w:val="5F7E1BB9"/>
    <w:rsid w:val="5F831A12"/>
    <w:rsid w:val="5FB95F86"/>
    <w:rsid w:val="5FE1582B"/>
    <w:rsid w:val="5FF94275"/>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9C25A7"/>
    <w:rsid w:val="6ECD36FF"/>
    <w:rsid w:val="6F1957D5"/>
    <w:rsid w:val="6F535FB4"/>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E5C26"/>
    <w:rsid w:val="756F7B86"/>
    <w:rsid w:val="75915D7B"/>
    <w:rsid w:val="759F6029"/>
    <w:rsid w:val="75A82AC5"/>
    <w:rsid w:val="75CA36CA"/>
    <w:rsid w:val="760E66A5"/>
    <w:rsid w:val="762460E6"/>
    <w:rsid w:val="763955BF"/>
    <w:rsid w:val="773A01B0"/>
    <w:rsid w:val="779A49A3"/>
    <w:rsid w:val="77BF6833"/>
    <w:rsid w:val="77FC16E5"/>
    <w:rsid w:val="78810DF7"/>
    <w:rsid w:val="78BC4EF9"/>
    <w:rsid w:val="78C17088"/>
    <w:rsid w:val="78C82F23"/>
    <w:rsid w:val="78FE0A2F"/>
    <w:rsid w:val="792F0912"/>
    <w:rsid w:val="7A383D5A"/>
    <w:rsid w:val="7A7C11A9"/>
    <w:rsid w:val="7A895DC7"/>
    <w:rsid w:val="7AC47EB7"/>
    <w:rsid w:val="7AC64F5C"/>
    <w:rsid w:val="7B4B68E6"/>
    <w:rsid w:val="7B5E04A9"/>
    <w:rsid w:val="7BE41421"/>
    <w:rsid w:val="7C073518"/>
    <w:rsid w:val="7C4079FA"/>
    <w:rsid w:val="7C8F2CF0"/>
    <w:rsid w:val="7F270D2A"/>
    <w:rsid w:val="7FD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7</Pages>
  <Words>3113</Words>
  <Characters>3304</Characters>
  <Lines>28</Lines>
  <Paragraphs>8</Paragraphs>
  <TotalTime>252</TotalTime>
  <ScaleCrop>false</ScaleCrop>
  <LinksUpToDate>false</LinksUpToDate>
  <CharactersWithSpaces>3326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linhh</cp:lastModifiedBy>
  <dcterms:modified xsi:type="dcterms:W3CDTF">2022-11-18T09:49:33Z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