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《深圳市人民代表大会常务委员会关于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修改〈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  <w:t>深圳经济特区计量条例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决定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  <w:t>》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afterAutospacing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afterAutospacing="0" w:line="560" w:lineRule="exact"/>
        <w:ind w:leftChars="0" w:firstLine="640" w:firstLineChars="200"/>
        <w:jc w:val="both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《深圳市人民代表大会常务委员会关于修改〈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深圳经济特区计量条例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〉的决定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》经深圳市第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届人民代表大会常务委员会第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十四次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会议于20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12月29日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通过，自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公布之日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起施行。</w:t>
      </w:r>
      <w:r>
        <w:rPr>
          <w:rFonts w:hint="eastAsia" w:ascii="仿宋_GB2312" w:eastAsia="仿宋_GB2312"/>
          <w:sz w:val="32"/>
          <w:szCs w:val="32"/>
          <w:highlight w:val="none"/>
        </w:rPr>
        <w:t>现将有关情况解读如下。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一、修改的必要性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近年来，国家围绕深化计量工作改革创新作出了一系列决策部署。2020年10月，国家市场监管总局发布《关于调整实施强制管理的计量器具目录的公告》，鼓励各地方对电动汽车充电桩具体强制检定方式予以探索；同年12月，授权我市开展贸易结算用计量器具强制检定管理制度改革试点。2021年10月，全国人大常委会又作出《关于授权国务院在营商环境创新试点城市暂时调整适用〈中华人民共和国计量法〉有关规定的决定》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highlight w:val="none"/>
          <w:lang w:val="en-US" w:eastAsia="zh-CN" w:bidi="ar-SA"/>
        </w:rPr>
        <w:t>（以下简称《决定》），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授权深圳作为六个营商环境创新试点城市之一，暂停调整适用《中华人民共和国计量法》第八条、第九条第一款的有关规定，即对企业内部使用的最高计量标准器具，不再考核发证，不再实行强制检定。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为贯彻上述国家决策部署，有效推进我市试点工作，有必要尽快修改《深圳经济特区计量条例》（以下简称《条例》），排除我市计量改革试点工作在法律适用方面的障碍，进一步固化试点工作经验成果，降低市场主体制度性交易成本，为推动国家计量改革作出先行示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jc w:val="both"/>
        <w:textAlignment w:val="auto"/>
        <w:rPr>
          <w:rFonts w:ascii="黑体" w:hAnsi="Times New Roman" w:eastAsia="黑体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Times New Roman" w:eastAsia="黑体" w:cs="仿宋_GB2312"/>
          <w:spacing w:val="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修改的</w:t>
      </w:r>
      <w:r>
        <w:rPr>
          <w:rFonts w:hint="eastAsia" w:ascii="黑体" w:hAnsi="黑体" w:eastAsia="黑体"/>
          <w:sz w:val="32"/>
          <w:szCs w:val="32"/>
          <w:highlight w:val="none"/>
        </w:rPr>
        <w:t>主要内容</w:t>
      </w:r>
      <w:r>
        <w:rPr>
          <w:rFonts w:hint="eastAsia" w:ascii="黑体" w:hAnsi="Times New Roman" w:eastAsia="黑体" w:cs="仿宋_GB2312"/>
          <w:spacing w:val="0"/>
          <w:kern w:val="0"/>
          <w:sz w:val="32"/>
          <w:szCs w:val="32"/>
          <w:highlight w:val="none"/>
        </w:rPr>
        <w:t>和制度创新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适应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企业内部使用的最高计量标准器具管理模式改革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需要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after="0" w:afterLines="0" w:line="560" w:lineRule="exact"/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bCs w:val="0"/>
          <w:kern w:val="2"/>
          <w:sz w:val="32"/>
          <w:szCs w:val="32"/>
          <w:lang w:val="en-US" w:eastAsia="zh-CN" w:bidi="ar-SA"/>
        </w:rPr>
        <w:t>全国人大常委会作出的《决定》，授权深圳暂停调整适用《中华人民共和国计量法》第八条、第九条第一款的有关规定，即对深圳的企业内部使用的最高计量标准器具，不再需要考核发证，不再实行强制检定。现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 w:bidi="ar-SA"/>
        </w:rPr>
        <w:t>《条例》第十一条和第十三条规定，企业使用的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bidi="ar-SA"/>
        </w:rPr>
        <w:t>最高计量标准器具应当经考核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 w:bidi="ar-SA"/>
        </w:rPr>
        <w:t>合格，并实行强制检定，已成为推行试点工作的法律障碍。为与《决定》做好衔接，</w:t>
      </w:r>
      <w:r>
        <w:rPr>
          <w:rFonts w:hint="eastAsia" w:ascii="仿宋_GB2312" w:hAnsi="宋体" w:eastAsia="仿宋_GB2312" w:cs="宋体"/>
          <w:bCs w:val="0"/>
          <w:kern w:val="2"/>
          <w:sz w:val="32"/>
          <w:szCs w:val="32"/>
          <w:lang w:eastAsia="zh-CN" w:bidi="ar-SA"/>
        </w:rPr>
        <w:t>适应</w:t>
      </w:r>
      <w:r>
        <w:rPr>
          <w:rFonts w:hint="eastAsia" w:ascii="仿宋_GB2312" w:hAnsi="宋体" w:eastAsia="仿宋_GB2312" w:cs="宋体"/>
          <w:bCs w:val="0"/>
          <w:kern w:val="2"/>
          <w:sz w:val="32"/>
          <w:szCs w:val="32"/>
          <w:lang w:bidi="ar-SA"/>
        </w:rPr>
        <w:t>企业内部使用的最高计量标准器具管理模式改革</w:t>
      </w:r>
      <w:r>
        <w:rPr>
          <w:rFonts w:hint="eastAsia" w:ascii="仿宋_GB2312" w:hAnsi="宋体" w:eastAsia="仿宋_GB2312" w:cs="宋体"/>
          <w:bCs w:val="0"/>
          <w:kern w:val="2"/>
          <w:sz w:val="32"/>
          <w:szCs w:val="32"/>
          <w:lang w:eastAsia="zh-CN" w:bidi="ar-SA"/>
        </w:rPr>
        <w:t>需要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 w:bidi="ar-SA"/>
        </w:rPr>
        <w:t>，本次修改对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现行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 w:bidi="ar-SA"/>
        </w:rPr>
        <w:t>《条例》第十一条和第十三条增加但书表述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--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 w:bidi="ar-SA"/>
        </w:rPr>
        <w:t>“但是国家另有规定的除外”</w:t>
      </w:r>
      <w:r>
        <w:rPr>
          <w:rFonts w:hint="eastAsia" w:ascii="仿宋_GB2312" w:hAnsi="宋体" w:eastAsia="仿宋_GB2312" w:cs="宋体"/>
          <w:bCs w:val="0"/>
          <w:kern w:val="2"/>
          <w:sz w:val="32"/>
          <w:szCs w:val="32"/>
          <w:lang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抽查检定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作为贸易结算用计量器具强制检定方式之一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kern w:val="2"/>
          <w:sz w:val="32"/>
          <w:szCs w:val="32"/>
          <w:highlight w:val="none"/>
          <w:lang w:val="en-US" w:eastAsia="zh-CN" w:bidi="ar-SA"/>
        </w:rPr>
        <w:t>根据国家市场监管总局的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授权</w:t>
      </w:r>
      <w:r>
        <w:rPr>
          <w:rFonts w:hint="eastAsia" w:ascii="仿宋_GB2312" w:hAnsi="Times New Roman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宋体" w:cs="宋体"/>
          <w:b w:val="0"/>
          <w:bCs w:val="0"/>
          <w:kern w:val="2"/>
          <w:sz w:val="32"/>
          <w:szCs w:val="32"/>
          <w:lang w:val="en-US" w:eastAsia="zh-CN" w:bidi="ar-SA"/>
        </w:rPr>
        <w:t>本次修改</w:t>
      </w:r>
      <w:r>
        <w:rPr>
          <w:rFonts w:hint="eastAsia" w:ascii="仿宋_GB2312" w:hAnsi="Calibri"/>
          <w:kern w:val="2"/>
          <w:sz w:val="32"/>
          <w:szCs w:val="32"/>
          <w:highlight w:val="none"/>
        </w:rPr>
        <w:t>将</w:t>
      </w:r>
      <w:r>
        <w:rPr>
          <w:rFonts w:ascii="仿宋_GB2312" w:hAnsi="仿宋_GB2312" w:cs="仿宋_GB2312"/>
          <w:bCs/>
          <w:sz w:val="32"/>
          <w:szCs w:val="32"/>
          <w:highlight w:val="none"/>
        </w:rPr>
        <w:t>抽查检定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列为</w:t>
      </w:r>
      <w:r>
        <w:rPr>
          <w:rFonts w:ascii="仿宋_GB2312" w:hAnsi="仿宋_GB2312" w:cs="仿宋_GB2312"/>
          <w:bCs/>
          <w:sz w:val="32"/>
          <w:szCs w:val="32"/>
          <w:highlight w:val="none"/>
        </w:rPr>
        <w:t>强制检定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三种方式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之一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明确市市场监管部门经公开征求社会公众意见和组织专家评估后，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在国家强制检定目录内选择部分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用于贸易结算的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计量器具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采取抽查检定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的方式实行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强制检定，并公布抽查检定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计量器具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目录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授权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市市场监管部门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具体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办法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报市政府批准后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公布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</w:rPr>
        <w:t>实施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同时，为了有效控制计量风险，</w:t>
      </w:r>
      <w:r>
        <w:rPr>
          <w:rFonts w:hint="eastAsia" w:ascii="仿宋_GB2312" w:hAnsi="宋体" w:cs="宋体"/>
          <w:b w:val="0"/>
          <w:bCs w:val="0"/>
          <w:kern w:val="2"/>
          <w:sz w:val="32"/>
          <w:szCs w:val="32"/>
          <w:lang w:val="en-US" w:eastAsia="zh-CN" w:bidi="ar-SA"/>
        </w:rPr>
        <w:t>本次修改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eastAsia="zh-CN"/>
        </w:rPr>
        <w:t>还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建立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抽查检定配套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的事后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监管制度，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市市场监管部门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应当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通过在线监测、计量数据核查、诚信计量等方式，加强对抽查检定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目录内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的计量器具的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监督管理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缩减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强制检定工作计量器具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的种类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  <w:t>为与《中华人民共和国强制检定的工作计量器具检定管理办法》第二条和《广东省实施〈中华人民共和国计量法〉办法》（以下简称《省实施办法》）第十七条的规定相衔接，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本次修改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列入国家强制检定目录的工作计量器具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的种类，由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贸易结算、安全防护、医疗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卫生、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环境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监测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、行政监测和司法鉴定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工作计量器具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”六类，缩减为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“用于贸易结算、安全防护、医疗卫生、环境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监测的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工作计量器具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”四类。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此外，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考虑到国家强制检定计量器具目录实行动态调整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本次修改将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现行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《条例》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列举的重点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计量器具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的具体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种类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调整为概括性地表述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取消对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市主管部门在有大宗物料计量场所设立公证计量器具的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过去，公证计量器具主要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社会公正计量行（站）在提供公正计量服务过程中使用。但随着时代发展，社会公正计量行（站）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已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逐步退出市场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国务院取消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建立社会公正计量行（站）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行政许可，市场监管总局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也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于2019年废止了《社会公正计量行（站）监督管理办法》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目前我市没有运行的公正计量行（站），近十年来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亦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没有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市场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主体提出相关申请，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我市建立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的四百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多项社会公用计量标准已基本满足公证计量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需求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，实践中已无强制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要求设立公证计量器具的必要。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因此，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本次修改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删除了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现行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条例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第二十二条“市主管部门应当在大宗物料计量场所设立公证计量器具”的规定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集贸市场公平秤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管理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为确保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推行计量器具抽查检定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制度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后集贸市场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诚信计量，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还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需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有效发挥公平秤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作用。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现行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《条例》对集贸市场公平秤设置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具体要求未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作出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规定，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部分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集贸市场主办者将公平秤放置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隐蔽地点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导致消费者难以找到。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对此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本次修改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明确集贸市场的主办者应当“在主要出入口等显著位置”设置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经强制检定合格的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公平秤，要求“做出醒目标识，在其他出入口公布详细路线指引”，并对其法律责任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eastAsia="zh-CN"/>
        </w:rPr>
        <w:t>作出相应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修改。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计量检定机构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计量校准机构出具虚假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val="en-US" w:eastAsia="zh-CN"/>
        </w:rPr>
        <w:t>证书、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报告的法律责任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计量校准是一种国际上普遍采用的保证量值准确可靠的技术手段</w:t>
      </w:r>
      <w:r>
        <w:rPr>
          <w:rFonts w:ascii="仿宋_GB2312" w:hAnsi="仿宋_GB2312" w:cs="仿宋_GB2312"/>
          <w:bCs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计量检定机构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计量校准机构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保障计量单位制统一和量值准确可靠的主要技术力量。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实践中，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计量检定机构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计量校准机构出具虚假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证书、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报告等违法现象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问题较为突出，有必要参考《省实施办法》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，加大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对计量检定机构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计量校准机构出具虚假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证书、报告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等违法行为的处罚力度。因此，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本次修改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将计量检定机构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计量校准机构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出具虚假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证书、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报告等违法行为的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</w:rPr>
        <w:t>处罚金额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eastAsia="zh-CN"/>
        </w:rPr>
        <w:t>调整为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</w:rPr>
        <w:t>一万元以上三万元以下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并对其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主要负责人和直接责任人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同时进行处罚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除上述修改外，为与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《中华人民共和国计量法》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中华人民共和国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计量法实施细则》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</w:rPr>
        <w:t>《计量标准考核办法》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等有关法律、法规以及国家规定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  <w:t>相衔接</w:t>
      </w:r>
      <w:r>
        <w:rPr>
          <w:rFonts w:hint="eastAsia" w:ascii="仿宋_GB2312" w:hAnsi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eastAsia="zh-CN"/>
        </w:rPr>
        <w:t>本次修改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将社会公用计量标准器具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企业、事业单位和计量校准机构的最高计量标准器具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考核合格证书有效期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“四年”修改为“五年”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删除现行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《条例》第十三条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“市主管部门可以根据需要，报市人民政府批准后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  <w:lang w:eastAsia="zh-CN"/>
        </w:rPr>
        <w:t>，对</w:t>
      </w:r>
      <w:r>
        <w:rPr>
          <w:rFonts w:hint="eastAsia" w:ascii="仿宋_GB2312" w:hAnsi="仿宋_GB2312" w:cs="仿宋_GB2312"/>
          <w:bCs/>
          <w:kern w:val="0"/>
          <w:sz w:val="32"/>
          <w:szCs w:val="32"/>
          <w:highlight w:val="none"/>
        </w:rPr>
        <w:t>未列入国家强制检定目录的工作计量器具实行强制检定”的规定。</w:t>
      </w:r>
    </w:p>
    <w:p>
      <w:pPr>
        <w:spacing w:afterLines="0"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DNhNjYyYmQ5NDk1NzFmYzdjMzExZWNhOWUxMGEifQ=="/>
  </w:docVars>
  <w:rsids>
    <w:rsidRoot w:val="13E46D21"/>
    <w:rsid w:val="0F586B9D"/>
    <w:rsid w:val="13E46D21"/>
    <w:rsid w:val="18F7E9CF"/>
    <w:rsid w:val="1AE511D2"/>
    <w:rsid w:val="1D3BEB1E"/>
    <w:rsid w:val="24726154"/>
    <w:rsid w:val="2F35859E"/>
    <w:rsid w:val="34BD42EF"/>
    <w:rsid w:val="50EA500B"/>
    <w:rsid w:val="59675055"/>
    <w:rsid w:val="F28DCDE4"/>
    <w:rsid w:val="FF2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Plain Text"/>
    <w:basedOn w:val="5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正文_0_0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5"/>
    <w:next w:val="5"/>
    <w:qFormat/>
    <w:uiPriority w:val="39"/>
    <w:pPr>
      <w:ind w:left="420" w:leftChars="200"/>
    </w:pPr>
    <w:rPr>
      <w:rFonts w:ascii="楷体_GB2312" w:hAnsi="楷体" w:eastAsia="楷体_GB2312"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2522</Words>
  <Characters>2543</Characters>
  <Lines>0</Lines>
  <Paragraphs>0</Paragraphs>
  <TotalTime>11</TotalTime>
  <ScaleCrop>false</ScaleCrop>
  <LinksUpToDate>false</LinksUpToDate>
  <CharactersWithSpaces>2543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2022-12-30T11:51:00Z</dcterms:created>
  <dc:creator>Admin</dc:creator>
  <cp:lastModifiedBy>leiweizhen</cp:lastModifiedBy>
  <cp:lastPrinted>2023-01-03T17:12:33Z</cp:lastPrinted>
  <dcterms:modified xsi:type="dcterms:W3CDTF">2023-01-03T17:25:01Z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9BA3A8E14EC749F1B64C79E13BC63CEE</vt:lpwstr>
  </property>
</Properties>
</file>