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ascii="方正小标宋_GBK" w:hAnsi="宋体" w:eastAsia="方正小标宋_GBK"/>
          <w:color w:val="000000"/>
          <w:spacing w:val="6"/>
          <w:sz w:val="36"/>
          <w:szCs w:val="36"/>
          <w:lang w:eastAsia="zh-CN"/>
        </w:rPr>
      </w:pPr>
    </w:p>
    <w:p>
      <w:pPr>
        <w:widowControl w:val="0"/>
        <w:spacing w:beforeLines="50" w:afterLines="50" w:line="336" w:lineRule="auto"/>
        <w:jc w:val="center"/>
        <w:rPr>
          <w:rFonts w:ascii="方正小标宋_GBK" w:hAnsi="宋体" w:eastAsia="方正小标宋_GBK"/>
          <w:color w:val="000000"/>
          <w:spacing w:val="6"/>
          <w:sz w:val="36"/>
          <w:szCs w:val="36"/>
          <w:lang w:eastAsia="zh-CN"/>
        </w:rPr>
      </w:pP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方正小标宋_GBK" w:hAnsi="宋体" w:eastAsia="方正小标宋_GBK"/>
          <w:color w:val="000000"/>
          <w:spacing w:val="6"/>
          <w:sz w:val="36"/>
          <w:szCs w:val="36"/>
          <w:lang w:eastAsia="zh-CN"/>
        </w:rPr>
        <w:t>深圳市市场监督管理局龙岗监管局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ascii="方正小标宋_GBK" w:hAnsi="宋体" w:eastAsia="方正小标宋_GBK"/>
          <w:color w:val="000000"/>
          <w:spacing w:val="6"/>
          <w:sz w:val="36"/>
          <w:szCs w:val="36"/>
          <w:lang w:eastAsia="zh-CN"/>
        </w:rPr>
        <w:t>专利侵权纠纷案件</w:t>
      </w:r>
      <w:r>
        <w:rPr>
          <w:rFonts w:hint="eastAsia" w:ascii="方正小标宋_GBK" w:hAnsi="宋体" w:eastAsia="方正小标宋_GBK"/>
          <w:color w:val="000000"/>
          <w:spacing w:val="6"/>
          <w:sz w:val="36"/>
          <w:szCs w:val="36"/>
          <w:lang w:eastAsia="zh-CN"/>
        </w:rPr>
        <w:t>行政裁决</w:t>
      </w:r>
      <w:r>
        <w:rPr>
          <w:rFonts w:ascii="方正小标宋_GBK" w:hAnsi="宋体" w:eastAsia="方正小标宋_GBK"/>
          <w:color w:val="000000"/>
          <w:spacing w:val="6"/>
          <w:sz w:val="36"/>
          <w:szCs w:val="36"/>
          <w:lang w:eastAsia="zh-CN"/>
        </w:rPr>
        <w:t>书</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请求人：东莞市德前电子科技有限公司</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法定代表人</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负责人</w:t>
      </w:r>
      <w:r>
        <w:rPr>
          <w:rFonts w:hint="eastAsia" w:ascii="仿宋_GB2312" w:hAnsi="仿宋" w:eastAsia="仿宋_GB2312" w:cs="PMingLiU"/>
          <w:color w:val="000000"/>
          <w:sz w:val="21"/>
          <w:szCs w:val="21"/>
          <w:lang w:val="en-US" w:eastAsia="zh-CN" w:bidi="en-US"/>
        </w:rPr>
        <w:t>）：黄德前</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住所：广东省东莞市清溪镇青滨东路105号力合紫荆智能制造中心21栋501室</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委托代理人：梅一彪</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被请求人：深圳市银海科技有限公司</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法定代表人</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负责人</w:t>
      </w:r>
      <w:r>
        <w:rPr>
          <w:rFonts w:hint="eastAsia" w:ascii="仿宋_GB2312" w:hAnsi="仿宋" w:eastAsia="仿宋_GB2312" w:cs="PMingLiU"/>
          <w:color w:val="000000"/>
          <w:sz w:val="21"/>
          <w:szCs w:val="21"/>
          <w:lang w:val="en-US" w:eastAsia="zh-CN" w:bidi="en-US"/>
        </w:rPr>
        <w:t>）：鄢海兵</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住所：深圳市龙岗区坪地街道中心社区黄竹南路38-2号</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案由：“</w:t>
      </w:r>
      <w:r>
        <w:rPr>
          <w:rFonts w:hint="eastAsia" w:ascii="仿宋_GB2312" w:hAnsi="仿宋" w:eastAsia="仿宋_GB2312" w:cs="PMingLiU"/>
          <w:color w:val="000000"/>
          <w:sz w:val="21"/>
          <w:szCs w:val="21"/>
          <w:u w:val="single"/>
          <w:lang w:eastAsia="zh-CN"/>
        </w:rPr>
        <w:t xml:space="preserve"> 加湿器（USB炫彩杯） </w:t>
      </w:r>
      <w:r>
        <w:rPr>
          <w:rFonts w:hint="eastAsia" w:ascii="仿宋_GB2312" w:hAnsi="仿宋" w:eastAsia="仿宋_GB2312" w:cs="PMingLiU"/>
          <w:color w:val="000000"/>
          <w:sz w:val="21"/>
          <w:szCs w:val="21"/>
          <w:lang w:eastAsia="zh-CN"/>
        </w:rPr>
        <w:t>”</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专利号：</w:t>
      </w:r>
      <w:r>
        <w:rPr>
          <w:rFonts w:hint="eastAsia" w:ascii="仿宋_GB2312" w:hAnsi="仿宋" w:eastAsia="仿宋_GB2312" w:cs="PMingLiU"/>
          <w:color w:val="000000"/>
          <w:sz w:val="21"/>
          <w:szCs w:val="21"/>
          <w:u w:val="single"/>
          <w:lang w:eastAsia="zh-CN"/>
        </w:rPr>
        <w:t xml:space="preserve">ZL202030630921.2 </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专利侵权纠纷</w:t>
      </w:r>
    </w:p>
    <w:p>
      <w:pPr>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请求人就其“</w:t>
      </w:r>
      <w:r>
        <w:rPr>
          <w:rFonts w:hint="eastAsia" w:ascii="仿宋_GB2312" w:hAnsi="仿宋" w:eastAsia="仿宋_GB2312" w:cs="PMingLiU"/>
          <w:color w:val="000000"/>
          <w:sz w:val="21"/>
          <w:szCs w:val="21"/>
          <w:u w:val="single"/>
          <w:lang w:eastAsia="zh-CN"/>
        </w:rPr>
        <w:t>加湿器（USB炫彩杯）</w:t>
      </w:r>
      <w:r>
        <w:rPr>
          <w:rFonts w:hint="eastAsia" w:ascii="仿宋_GB2312" w:hAnsi="仿宋" w:eastAsia="仿宋_GB2312" w:cs="PMingLiU"/>
          <w:color w:val="000000"/>
          <w:sz w:val="21"/>
          <w:szCs w:val="21"/>
          <w:lang w:eastAsia="zh-CN"/>
        </w:rPr>
        <w:t>”</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专利号：</w:t>
      </w:r>
      <w:r>
        <w:rPr>
          <w:rFonts w:hint="eastAsia" w:ascii="仿宋_GB2312" w:hAnsi="仿宋" w:eastAsia="仿宋_GB2312" w:cs="PMingLiU"/>
          <w:color w:val="000000"/>
          <w:sz w:val="21"/>
          <w:szCs w:val="21"/>
          <w:u w:val="single"/>
          <w:lang w:eastAsia="zh-CN"/>
        </w:rPr>
        <w:t xml:space="preserve">ZL202030630921.2 </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与被请求人的专利侵权纠纷，向本局提出处理请求。本局于</w:t>
      </w:r>
      <w:r>
        <w:rPr>
          <w:rFonts w:hint="eastAsia" w:ascii="仿宋_GB2312" w:hAnsi="宋体" w:eastAsia="仿宋_GB2312"/>
          <w:color w:val="000000"/>
          <w:spacing w:val="6"/>
          <w:sz w:val="21"/>
          <w:szCs w:val="21"/>
          <w:u w:val="single"/>
          <w:lang w:eastAsia="zh-CN"/>
        </w:rPr>
        <w:t xml:space="preserve"> 2022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8</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10 </w:t>
      </w:r>
      <w:r>
        <w:rPr>
          <w:rFonts w:hint="eastAsia" w:ascii="仿宋_GB2312" w:hAnsi="宋体" w:eastAsia="仿宋_GB2312"/>
          <w:color w:val="000000"/>
          <w:spacing w:val="6"/>
          <w:sz w:val="21"/>
          <w:szCs w:val="21"/>
          <w:lang w:eastAsia="zh-CN"/>
        </w:rPr>
        <w:t>日</w:t>
      </w:r>
      <w:r>
        <w:rPr>
          <w:rFonts w:hint="eastAsia" w:ascii="仿宋_GB2312" w:hAnsi="仿宋" w:eastAsia="仿宋_GB2312" w:cs="PMingLiU"/>
          <w:color w:val="000000"/>
          <w:sz w:val="21"/>
          <w:szCs w:val="21"/>
          <w:lang w:eastAsia="zh-CN"/>
        </w:rPr>
        <w:t>受理后，依照《专利行政执法办法》第十三条组成合议组，现本案已审结。</w:t>
      </w:r>
    </w:p>
    <w:p>
      <w:pPr>
        <w:tabs>
          <w:tab w:val="left" w:leader="underscore" w:pos="1947"/>
        </w:tabs>
        <w:spacing w:line="336" w:lineRule="auto"/>
        <w:ind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请求人称：</w:t>
      </w: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请求人的代理人于2022年7月16日通过前往被请求人深圳市银海科技有限公司的住所，发现被请求人生产涉案侵权产品，请求人的代理人现场予以报警，被请求人在派出所调查中承认组装加工涉案侵权产品。经侵权比对发现，被请求人生产的产品与请求人的外观设计专利，专利名称“</w:t>
      </w:r>
      <w:r>
        <w:rPr>
          <w:rFonts w:hint="eastAsia" w:ascii="仿宋_GB2312" w:hAnsi="仿宋" w:eastAsia="仿宋_GB2312" w:cs="PMingLiU"/>
          <w:color w:val="000000"/>
          <w:sz w:val="21"/>
          <w:szCs w:val="21"/>
          <w:u w:val="single"/>
          <w:lang w:eastAsia="zh-CN"/>
        </w:rPr>
        <w:t xml:space="preserve">加湿器（USB炫彩杯） </w:t>
      </w:r>
      <w:r>
        <w:rPr>
          <w:rFonts w:hint="eastAsia" w:ascii="仿宋_GB2312" w:hAnsi="仿宋" w:eastAsia="仿宋_GB2312" w:cs="PMingLiU"/>
          <w:color w:val="000000"/>
          <w:sz w:val="21"/>
          <w:szCs w:val="21"/>
          <w:lang w:eastAsia="zh-CN"/>
        </w:rPr>
        <w:t>”</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专利号：</w:t>
      </w:r>
      <w:r>
        <w:rPr>
          <w:rFonts w:hint="eastAsia" w:ascii="仿宋_GB2312" w:hAnsi="仿宋" w:eastAsia="仿宋_GB2312" w:cs="PMingLiU"/>
          <w:color w:val="000000"/>
          <w:sz w:val="21"/>
          <w:szCs w:val="21"/>
          <w:u w:val="single"/>
          <w:lang w:eastAsia="zh-CN"/>
        </w:rPr>
        <w:t>ZL202030630921.2</w:t>
      </w:r>
      <w:r>
        <w:rPr>
          <w:rFonts w:hint="eastAsia" w:ascii="仿宋_GB2312" w:hAnsi="仿宋" w:eastAsia="仿宋_GB2312" w:cs="PMingLiU"/>
          <w:color w:val="000000"/>
          <w:sz w:val="21"/>
          <w:szCs w:val="21"/>
          <w:lang w:val="en-US" w:eastAsia="zh-CN" w:bidi="en-US"/>
        </w:rPr>
        <w:t>）的设计相同，构成相同侵权。请求人的专利至今合法有效，依法应当受到保护。</w:t>
      </w: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eastAsia="zh-CN"/>
        </w:rPr>
      </w:pP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被请求人辩称：</w:t>
      </w: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其是受委托组装加工被投诉的侵权产品，不是生产行为。请求人代理人所提供的实物并非其组装加工，但其承认其加工的加湿器外观与请求人代理人所提供的实物大致一致，主要的不同是印刷的logo不一样。被请求人未提供受委托加工的相关证据。</w:t>
      </w: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eastAsia="zh-CN"/>
        </w:rPr>
      </w:pP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经审理查明：</w:t>
      </w: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val="en-US" w:eastAsia="zh-CN" w:bidi="en-US"/>
        </w:rPr>
      </w:pPr>
      <w:r>
        <w:rPr>
          <w:rFonts w:hint="eastAsia" w:eastAsia="仿宋_GB2312" w:cs="PMingLiU"/>
          <w:color w:val="000000"/>
          <w:sz w:val="21"/>
          <w:szCs w:val="21"/>
          <w:lang w:eastAsia="zh-CN"/>
        </w:rPr>
        <w:t>被请求人确认的被投诉产品外观与请求人的专利</w:t>
      </w:r>
      <w:r>
        <w:rPr>
          <w:rFonts w:hint="eastAsia" w:ascii="仿宋_GB2312" w:hAnsi="仿宋" w:eastAsia="仿宋_GB2312" w:cs="PMingLiU"/>
          <w:color w:val="000000"/>
          <w:sz w:val="21"/>
          <w:szCs w:val="21"/>
          <w:lang w:eastAsia="zh-CN"/>
        </w:rPr>
        <w:t>“</w:t>
      </w:r>
      <w:r>
        <w:rPr>
          <w:rFonts w:hint="eastAsia" w:ascii="仿宋_GB2312" w:hAnsi="仿宋" w:eastAsia="仿宋_GB2312" w:cs="PMingLiU"/>
          <w:color w:val="000000"/>
          <w:sz w:val="21"/>
          <w:szCs w:val="21"/>
          <w:u w:val="single"/>
          <w:lang w:eastAsia="zh-CN"/>
        </w:rPr>
        <w:t xml:space="preserve">加湿器（USB炫彩杯） </w:t>
      </w:r>
      <w:r>
        <w:rPr>
          <w:rFonts w:hint="eastAsia" w:ascii="仿宋_GB2312" w:hAnsi="仿宋" w:eastAsia="仿宋_GB2312" w:cs="PMingLiU"/>
          <w:color w:val="000000"/>
          <w:sz w:val="21"/>
          <w:szCs w:val="21"/>
          <w:lang w:eastAsia="zh-CN"/>
        </w:rPr>
        <w:t>”</w:t>
      </w:r>
      <w:r>
        <w:rPr>
          <w:rFonts w:hint="eastAsia" w:ascii="仿宋_GB2312" w:hAnsi="仿宋" w:eastAsia="仿宋_GB2312" w:cs="PMingLiU"/>
          <w:color w:val="000000"/>
          <w:sz w:val="21"/>
          <w:szCs w:val="21"/>
          <w:lang w:val="en-US" w:eastAsia="zh-CN" w:bidi="en-US"/>
        </w:rPr>
        <w:t>（</w:t>
      </w:r>
      <w:r>
        <w:rPr>
          <w:rFonts w:hint="eastAsia" w:ascii="仿宋_GB2312" w:hAnsi="仿宋" w:eastAsia="仿宋_GB2312" w:cs="PMingLiU"/>
          <w:color w:val="000000"/>
          <w:sz w:val="21"/>
          <w:szCs w:val="21"/>
          <w:lang w:eastAsia="zh-CN"/>
        </w:rPr>
        <w:t>专利号：</w:t>
      </w:r>
      <w:r>
        <w:rPr>
          <w:rFonts w:hint="eastAsia" w:ascii="仿宋_GB2312" w:hAnsi="仿宋" w:eastAsia="仿宋_GB2312" w:cs="PMingLiU"/>
          <w:color w:val="000000"/>
          <w:sz w:val="21"/>
          <w:szCs w:val="21"/>
          <w:u w:val="single"/>
          <w:lang w:eastAsia="zh-CN"/>
        </w:rPr>
        <w:t>ZL202030630921.2</w:t>
      </w:r>
      <w:r>
        <w:rPr>
          <w:rFonts w:hint="eastAsia" w:ascii="仿宋_GB2312" w:hAnsi="仿宋" w:eastAsia="仿宋_GB2312" w:cs="PMingLiU"/>
          <w:color w:val="000000"/>
          <w:sz w:val="21"/>
          <w:szCs w:val="21"/>
          <w:lang w:val="en-US" w:eastAsia="zh-CN" w:bidi="en-US"/>
        </w:rPr>
        <w:t>）经过对比主视图、后视图、左视图、右视图、俯视图、仰视图、立体图等，基本相同。</w:t>
      </w:r>
    </w:p>
    <w:p>
      <w:pPr>
        <w:tabs>
          <w:tab w:val="left" w:leader="underscore" w:pos="1947"/>
        </w:tabs>
        <w:spacing w:line="336" w:lineRule="auto"/>
        <w:ind w:left="442" w:firstLine="420" w:firstLineChars="200"/>
        <w:jc w:val="both"/>
        <w:rPr>
          <w:rFonts w:ascii="仿宋_GB2312" w:hAnsi="仿宋" w:eastAsia="仿宋_GB2312" w:cs="PMingLiU"/>
          <w:color w:val="000000"/>
          <w:sz w:val="21"/>
          <w:szCs w:val="21"/>
          <w:lang w:eastAsia="zh-CN"/>
        </w:rPr>
      </w:pPr>
    </w:p>
    <w:p>
      <w:pPr>
        <w:spacing w:line="336" w:lineRule="auto"/>
        <w:ind w:left="440" w:right="21"/>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本局认为：</w:t>
      </w:r>
    </w:p>
    <w:p>
      <w:pPr>
        <w:spacing w:line="336" w:lineRule="auto"/>
        <w:ind w:left="442" w:firstLine="420" w:firstLineChars="200"/>
        <w:rPr>
          <w:rFonts w:eastAsia="仿宋_GB2312" w:cs="PMingLiU"/>
          <w:color w:val="000000"/>
          <w:sz w:val="21"/>
          <w:szCs w:val="21"/>
          <w:lang w:eastAsia="zh-CN"/>
        </w:rPr>
      </w:pPr>
      <w:r>
        <w:rPr>
          <w:rFonts w:hint="eastAsia" w:ascii="仿宋_GB2312" w:hAnsi="仿宋" w:eastAsia="仿宋_GB2312" w:cs="PMingLiU"/>
          <w:color w:val="000000"/>
          <w:sz w:val="21"/>
          <w:szCs w:val="21"/>
          <w:lang w:val="en-US" w:eastAsia="zh-CN" w:bidi="en-US"/>
        </w:rPr>
        <w:t>被请求人组装加工行为是生产行为，</w:t>
      </w:r>
      <w:r>
        <w:rPr>
          <w:rFonts w:hint="eastAsia" w:eastAsia="仿宋_GB2312" w:cs="PMingLiU"/>
          <w:color w:val="000000"/>
          <w:sz w:val="21"/>
          <w:szCs w:val="21"/>
          <w:lang w:eastAsia="zh-CN"/>
        </w:rPr>
        <w:t>被请求人的被控侵权产品落入请求人的专利权（专利名称“加湿器（USB炫彩杯） ”（专利号：</w:t>
      </w:r>
      <w:r>
        <w:rPr>
          <w:rFonts w:eastAsia="仿宋_GB2312" w:cs="PMingLiU"/>
          <w:color w:val="000000"/>
          <w:sz w:val="21"/>
          <w:szCs w:val="21"/>
          <w:lang w:eastAsia="zh-CN"/>
        </w:rPr>
        <w:t>ZL202030630921.2</w:t>
      </w:r>
      <w:r>
        <w:rPr>
          <w:rFonts w:hint="eastAsia" w:eastAsia="仿宋_GB2312" w:cs="PMingLiU"/>
          <w:color w:val="000000"/>
          <w:sz w:val="21"/>
          <w:szCs w:val="21"/>
          <w:lang w:eastAsia="zh-CN"/>
        </w:rPr>
        <w:t>））的保护范围。</w:t>
      </w:r>
    </w:p>
    <w:p>
      <w:pPr>
        <w:spacing w:line="336" w:lineRule="auto"/>
        <w:ind w:left="442" w:firstLine="420" w:firstLineChars="200"/>
        <w:rPr>
          <w:rFonts w:ascii="仿宋_GB2312" w:hAnsi="仿宋" w:eastAsia="仿宋_GB2312" w:cs="PMingLiU"/>
          <w:color w:val="000000"/>
          <w:sz w:val="21"/>
          <w:szCs w:val="21"/>
          <w:lang w:eastAsia="zh-CN"/>
        </w:rPr>
      </w:pPr>
      <w:r>
        <w:rPr>
          <w:rFonts w:hint="eastAsia" w:eastAsia="仿宋_GB2312" w:cs="PMingLiU"/>
          <w:color w:val="000000"/>
          <w:sz w:val="21"/>
          <w:szCs w:val="21"/>
          <w:lang w:eastAsia="zh-CN"/>
        </w:rPr>
        <w:t>综上所述，根据《中华人民共和国专利法</w:t>
      </w:r>
      <w:r>
        <w:rPr>
          <w:rFonts w:hint="eastAsia" w:ascii="仿宋_GB2312" w:hAnsi="仿宋" w:eastAsia="仿宋_GB2312" w:cs="PMingLiU"/>
          <w:color w:val="000000"/>
          <w:sz w:val="21"/>
          <w:szCs w:val="21"/>
          <w:lang w:eastAsia="zh-CN"/>
        </w:rPr>
        <w:t>》、《中华人民共和国专利法实施细则》、《专利行政执法办法》有关规定，本局作出行政裁决如下：</w:t>
      </w:r>
    </w:p>
    <w:p>
      <w:pPr>
        <w:spacing w:line="336" w:lineRule="auto"/>
        <w:ind w:left="442" w:firstLine="420" w:firstLineChars="200"/>
        <w:rPr>
          <w:rFonts w:hint="eastAsia" w:ascii="仿宋_GB2312" w:hAnsi="仿宋" w:eastAsia="仿宋_GB2312" w:cs="PMingLiU"/>
          <w:color w:val="000000"/>
          <w:sz w:val="21"/>
          <w:szCs w:val="21"/>
          <w:lang w:eastAsia="zh-CN"/>
        </w:rPr>
      </w:pPr>
      <w:r>
        <w:rPr>
          <w:rFonts w:ascii="仿宋_GB2312" w:hAnsi="仿宋" w:eastAsia="仿宋_GB2312" w:cs="PMingLiU"/>
          <w:color w:val="000000"/>
          <w:sz w:val="21"/>
          <w:szCs w:val="21"/>
          <w:lang w:eastAsia="zh-CN"/>
        </w:rPr>
        <w:t>认定侵权行为成立</w:t>
      </w:r>
      <w:r>
        <w:rPr>
          <w:rFonts w:hint="eastAsia" w:ascii="仿宋_GB2312" w:hAnsi="仿宋" w:eastAsia="仿宋_GB2312" w:cs="PMingLiU"/>
          <w:color w:val="000000"/>
          <w:sz w:val="21"/>
          <w:szCs w:val="21"/>
          <w:lang w:eastAsia="zh-CN"/>
        </w:rPr>
        <w:t>。</w:t>
      </w:r>
    </w:p>
    <w:p>
      <w:pPr>
        <w:spacing w:line="336" w:lineRule="auto"/>
        <w:ind w:left="442" w:firstLine="420" w:firstLineChars="200"/>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请求人、被请求人如不服本裁决，可自收到裁决书之日起15日内，依照《中华人民共和国专利法》第六十五条向盐田区人民法院起诉。</w:t>
      </w:r>
    </w:p>
    <w:p>
      <w:pPr>
        <w:tabs>
          <w:tab w:val="left" w:leader="underscore" w:pos="4022"/>
        </w:tabs>
        <w:spacing w:line="336" w:lineRule="auto"/>
        <w:jc w:val="both"/>
        <w:rPr>
          <w:rFonts w:ascii="仿宋_GB2312" w:hAnsi="仿宋" w:eastAsia="仿宋_GB2312" w:cs="PMingLiU"/>
          <w:color w:val="000000"/>
          <w:sz w:val="21"/>
          <w:szCs w:val="21"/>
          <w:lang w:eastAsia="zh-CN"/>
        </w:rPr>
      </w:pPr>
    </w:p>
    <w:p>
      <w:pPr>
        <w:tabs>
          <w:tab w:val="left" w:leader="underscore" w:pos="4022"/>
        </w:tabs>
        <w:spacing w:line="336" w:lineRule="auto"/>
        <w:jc w:val="both"/>
        <w:rPr>
          <w:rFonts w:ascii="仿宋_GB2312" w:hAnsi="仿宋" w:eastAsia="仿宋_GB2312" w:cs="PMingLiU"/>
          <w:color w:val="000000"/>
          <w:sz w:val="21"/>
          <w:szCs w:val="21"/>
          <w:lang w:eastAsia="zh-CN"/>
        </w:rPr>
      </w:pPr>
    </w:p>
    <w:p>
      <w:pPr>
        <w:tabs>
          <w:tab w:val="left" w:leader="underscore" w:pos="4022"/>
          <w:tab w:val="right" w:pos="9412"/>
        </w:tabs>
        <w:spacing w:line="336" w:lineRule="auto"/>
        <w:ind w:left="1600" w:leftChars="800" w:firstLine="4630" w:firstLineChars="2205"/>
        <w:jc w:val="both"/>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合议组长：</w:t>
      </w:r>
      <w:r>
        <w:rPr>
          <w:rFonts w:ascii="仿宋_GB2312" w:hAnsi="仿宋" w:eastAsia="仿宋_GB2312" w:cs="PMingLiU"/>
          <w:color w:val="000000"/>
          <w:sz w:val="21"/>
          <w:szCs w:val="21"/>
          <w:lang w:eastAsia="zh-CN"/>
        </w:rPr>
        <w:t xml:space="preserve"> </w:t>
      </w:r>
    </w:p>
    <w:p>
      <w:pPr>
        <w:tabs>
          <w:tab w:val="left" w:leader="underscore" w:pos="4022"/>
          <w:tab w:val="right" w:pos="9412"/>
        </w:tabs>
        <w:spacing w:line="336" w:lineRule="auto"/>
        <w:ind w:left="1600" w:leftChars="800" w:firstLine="4630" w:firstLineChars="2205"/>
        <w:jc w:val="both"/>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审 理 员：</w:t>
      </w:r>
      <w:r>
        <w:rPr>
          <w:rFonts w:ascii="仿宋_GB2312" w:hAnsi="仿宋" w:eastAsia="仿宋_GB2312" w:cs="PMingLiU"/>
          <w:color w:val="000000"/>
          <w:sz w:val="21"/>
          <w:szCs w:val="21"/>
          <w:lang w:eastAsia="zh-CN"/>
        </w:rPr>
        <w:t xml:space="preserve"> </w:t>
      </w:r>
    </w:p>
    <w:p>
      <w:pPr>
        <w:tabs>
          <w:tab w:val="left" w:leader="underscore" w:pos="4022"/>
          <w:tab w:val="right" w:pos="9412"/>
        </w:tabs>
        <w:spacing w:line="336" w:lineRule="auto"/>
        <w:ind w:left="1600" w:leftChars="800" w:firstLine="4630" w:firstLineChars="2205"/>
        <w:jc w:val="both"/>
        <w:rPr>
          <w:rFonts w:ascii="仿宋_GB2312" w:hAnsi="仿宋" w:eastAsia="仿宋_GB2312" w:cs="PMingLiU"/>
          <w:color w:val="000000"/>
          <w:sz w:val="21"/>
          <w:szCs w:val="21"/>
          <w:lang w:eastAsia="zh-CN"/>
        </w:rPr>
      </w:pPr>
      <w:r>
        <w:rPr>
          <w:rFonts w:hint="eastAsia" w:ascii="仿宋_GB2312" w:hAnsi="仿宋" w:eastAsia="仿宋_GB2312" w:cs="PMingLiU"/>
          <w:color w:val="000000"/>
          <w:sz w:val="21"/>
          <w:szCs w:val="21"/>
          <w:lang w:eastAsia="zh-CN"/>
        </w:rPr>
        <w:t>审 理 员：</w:t>
      </w:r>
      <w:r>
        <w:rPr>
          <w:rFonts w:ascii="仿宋_GB2312" w:hAnsi="仿宋" w:eastAsia="仿宋_GB2312" w:cs="PMingLiU"/>
          <w:color w:val="000000"/>
          <w:sz w:val="21"/>
          <w:szCs w:val="21"/>
          <w:lang w:eastAsia="zh-CN"/>
        </w:rPr>
        <w:t xml:space="preserve"> </w:t>
      </w:r>
    </w:p>
    <w:p>
      <w:pPr>
        <w:widowControl w:val="0"/>
        <w:spacing w:line="336" w:lineRule="auto"/>
        <w:ind w:firstLine="600"/>
        <w:rPr>
          <w:rFonts w:ascii="仿宋_GB2312" w:hAnsi="宋体" w:eastAsia="仿宋_GB2312"/>
          <w:color w:val="000000"/>
          <w:spacing w:val="6"/>
          <w:sz w:val="21"/>
          <w:szCs w:val="21"/>
          <w:lang w:eastAsia="zh-CN"/>
        </w:rPr>
      </w:pPr>
    </w:p>
    <w:p>
      <w:pPr>
        <w:widowControl w:val="0"/>
        <w:wordWrap w:val="0"/>
        <w:spacing w:line="336" w:lineRule="auto"/>
        <w:ind w:firstLine="600"/>
        <w:jc w:val="right"/>
        <w:rPr>
          <w:rFonts w:ascii="仿宋_GB2312" w:hAnsi="宋体" w:eastAsia="仿宋_GB2312"/>
          <w:color w:val="000000"/>
          <w:spacing w:val="6"/>
          <w:sz w:val="21"/>
          <w:szCs w:val="21"/>
          <w:lang w:eastAsia="zh-CN"/>
        </w:rPr>
      </w:pPr>
      <w:r>
        <w:rPr>
          <w:rFonts w:hint="eastAsia" w:ascii="仿宋_GB2312" w:hAnsi="宋体" w:eastAsia="仿宋_GB2312"/>
          <w:color w:val="000000"/>
          <w:spacing w:val="6"/>
          <w:sz w:val="21"/>
          <w:szCs w:val="21"/>
          <w:lang w:eastAsia="zh-CN"/>
        </w:rPr>
        <w:t xml:space="preserve">   </w:t>
      </w:r>
      <w:r>
        <w:rPr>
          <w:rFonts w:hint="eastAsia" w:ascii="仿宋_GB2312" w:hAnsi="宋体" w:eastAsia="仿宋_GB2312"/>
          <w:color w:val="000000"/>
          <w:spacing w:val="6"/>
          <w:sz w:val="21"/>
          <w:szCs w:val="21"/>
          <w:u w:val="single"/>
          <w:lang w:eastAsia="zh-CN"/>
        </w:rPr>
        <w:t xml:space="preserve"> 深圳市市场监督管理局龙岗监管局</w:t>
      </w:r>
      <w:r>
        <w:rPr>
          <w:rFonts w:hint="eastAsia" w:ascii="仿宋_GB2312" w:hAnsi="宋体" w:eastAsia="仿宋_GB2312"/>
          <w:color w:val="000000"/>
          <w:spacing w:val="6"/>
          <w:sz w:val="21"/>
          <w:szCs w:val="21"/>
          <w:lang w:eastAsia="zh-CN"/>
        </w:rPr>
        <w:t>（盖章）　　</w:t>
      </w:r>
    </w:p>
    <w:p>
      <w:pPr>
        <w:widowControl w:val="0"/>
        <w:wordWrap w:val="0"/>
        <w:spacing w:line="336" w:lineRule="auto"/>
        <w:ind w:firstLine="600"/>
        <w:jc w:val="right"/>
        <w:rPr>
          <w:rFonts w:ascii="仿宋_GB2312" w:hAnsi="宋体" w:eastAsia="仿宋_GB2312"/>
          <w:color w:val="000000"/>
          <w:spacing w:val="6"/>
          <w:sz w:val="21"/>
          <w:szCs w:val="21"/>
          <w:lang w:eastAsia="zh-CN"/>
        </w:rPr>
      </w:pPr>
      <w:r>
        <w:rPr>
          <w:rFonts w:hint="eastAsia" w:ascii="仿宋_GB2312" w:hAnsi="宋体" w:eastAsia="仿宋_GB2312"/>
          <w:color w:val="000000"/>
          <w:spacing w:val="6"/>
          <w:sz w:val="21"/>
          <w:szCs w:val="21"/>
          <w:lang w:eastAsia="zh-CN"/>
        </w:rPr>
        <w:t>2022</w:t>
      </w:r>
      <w:r>
        <w:rPr>
          <w:rFonts w:hint="eastAsia" w:ascii="仿宋_GB2312" w:hAnsi="宋体" w:eastAsia="仿宋_GB2312"/>
          <w:color w:val="000000"/>
          <w:spacing w:val="6"/>
          <w:sz w:val="21"/>
          <w:szCs w:val="21"/>
          <w:lang w:val="en-US" w:eastAsia="zh-CN"/>
        </w:rPr>
        <w:t>年</w:t>
      </w:r>
      <w:r>
        <w:rPr>
          <w:rFonts w:hint="eastAsia" w:ascii="仿宋_GB2312" w:hAnsi="宋体" w:eastAsia="仿宋_GB2312"/>
          <w:color w:val="000000"/>
          <w:spacing w:val="6"/>
          <w:sz w:val="21"/>
          <w:szCs w:val="21"/>
          <w:lang w:eastAsia="zh-CN"/>
        </w:rPr>
        <w:t>8</w:t>
      </w:r>
      <w:r>
        <w:rPr>
          <w:rFonts w:hint="eastAsia" w:ascii="仿宋_GB2312" w:hAnsi="宋体" w:eastAsia="仿宋_GB2312"/>
          <w:color w:val="000000"/>
          <w:spacing w:val="6"/>
          <w:sz w:val="21"/>
          <w:szCs w:val="21"/>
          <w:lang w:val="en-US" w:eastAsia="zh-CN"/>
        </w:rPr>
        <w:t>月</w:t>
      </w:r>
      <w:r>
        <w:rPr>
          <w:rFonts w:hint="eastAsia" w:ascii="仿宋_GB2312" w:hAnsi="宋体" w:eastAsia="仿宋_GB2312"/>
          <w:color w:val="000000"/>
          <w:spacing w:val="6"/>
          <w:sz w:val="21"/>
          <w:szCs w:val="21"/>
          <w:lang w:eastAsia="zh-CN"/>
        </w:rPr>
        <w:t>30</w:t>
      </w:r>
      <w:r>
        <w:rPr>
          <w:rFonts w:hint="eastAsia" w:ascii="仿宋_GB2312" w:hAnsi="宋体" w:eastAsia="仿宋_GB2312"/>
          <w:color w:val="000000"/>
          <w:spacing w:val="6"/>
          <w:sz w:val="21"/>
          <w:szCs w:val="21"/>
          <w:lang w:val="en-US" w:eastAsia="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altName w:val="方正小标宋简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E4E"/>
    <w:rsid w:val="000F578B"/>
    <w:rsid w:val="00185D7F"/>
    <w:rsid w:val="002A3D22"/>
    <w:rsid w:val="002E1B60"/>
    <w:rsid w:val="00323682"/>
    <w:rsid w:val="00326035"/>
    <w:rsid w:val="00327153"/>
    <w:rsid w:val="0035577C"/>
    <w:rsid w:val="003F6599"/>
    <w:rsid w:val="00452A46"/>
    <w:rsid w:val="004A01A4"/>
    <w:rsid w:val="0053322B"/>
    <w:rsid w:val="005367D6"/>
    <w:rsid w:val="005A7419"/>
    <w:rsid w:val="005B75B8"/>
    <w:rsid w:val="005D7CC7"/>
    <w:rsid w:val="00613993"/>
    <w:rsid w:val="00616562"/>
    <w:rsid w:val="006C6EA8"/>
    <w:rsid w:val="006E3FCD"/>
    <w:rsid w:val="006F438E"/>
    <w:rsid w:val="007042EA"/>
    <w:rsid w:val="00724133"/>
    <w:rsid w:val="0074601F"/>
    <w:rsid w:val="00794844"/>
    <w:rsid w:val="007A113F"/>
    <w:rsid w:val="008275EA"/>
    <w:rsid w:val="00854F43"/>
    <w:rsid w:val="008846FB"/>
    <w:rsid w:val="008D0079"/>
    <w:rsid w:val="009563BA"/>
    <w:rsid w:val="0095769F"/>
    <w:rsid w:val="00A06885"/>
    <w:rsid w:val="00A14BA5"/>
    <w:rsid w:val="00A57782"/>
    <w:rsid w:val="00A6442B"/>
    <w:rsid w:val="00A935E2"/>
    <w:rsid w:val="00AA3C64"/>
    <w:rsid w:val="00AD58F5"/>
    <w:rsid w:val="00AF513C"/>
    <w:rsid w:val="00B057F4"/>
    <w:rsid w:val="00B10AB3"/>
    <w:rsid w:val="00B267FC"/>
    <w:rsid w:val="00BF02AB"/>
    <w:rsid w:val="00C35A06"/>
    <w:rsid w:val="00C800BD"/>
    <w:rsid w:val="00CE424B"/>
    <w:rsid w:val="00D12541"/>
    <w:rsid w:val="00D97E41"/>
    <w:rsid w:val="00E365C8"/>
    <w:rsid w:val="00E712AD"/>
    <w:rsid w:val="00EC0CB4"/>
    <w:rsid w:val="00EC3E4E"/>
    <w:rsid w:val="00FE0870"/>
    <w:rsid w:val="13BE0235"/>
    <w:rsid w:val="2EEA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3">
    <w:name w:val="header"/>
    <w:basedOn w:val="1"/>
    <w:link w:val="6"/>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MSG_EN_FONT_STYLE_NAME_TEMPLATE_ROLE_NUMBER MSG_EN_FONT_STYLE_NAME_BY_ROLE_TEXT 3_"/>
    <w:link w:val="9"/>
    <w:qFormat/>
    <w:uiPriority w:val="0"/>
    <w:rPr>
      <w:rFonts w:ascii="PMingLiU" w:hAnsi="PMingLiU" w:eastAsia="PMingLiU" w:cs="PMingLiU"/>
      <w:sz w:val="17"/>
      <w:szCs w:val="17"/>
      <w:shd w:val="clear" w:color="auto" w:fill="FFFFFF"/>
    </w:rPr>
  </w:style>
  <w:style w:type="paragraph" w:customStyle="1" w:styleId="9">
    <w:name w:val="MSG_EN_FONT_STYLE_NAME_TEMPLATE_ROLE_NUMBER MSG_EN_FONT_STYLE_NAME_BY_ROLE_TEXT 3"/>
    <w:basedOn w:val="1"/>
    <w:link w:val="8"/>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158</Words>
  <Characters>902</Characters>
  <Lines>7</Lines>
  <Paragraphs>2</Paragraphs>
  <TotalTime>96</TotalTime>
  <ScaleCrop>false</ScaleCrop>
  <LinksUpToDate>false</LinksUpToDate>
  <CharactersWithSpaces>1058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2021-05-08T07:03:00Z</dcterms:created>
  <dc:creator>田天</dc:creator>
  <cp:lastModifiedBy>曾伟荣</cp:lastModifiedBy>
  <cp:lastPrinted>2021-07-26T09:11:00Z</cp:lastPrinted>
  <dcterms:modified xsi:type="dcterms:W3CDTF">2023-03-01T07:06:26Z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