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 w:line="560" w:lineRule="exact"/>
        <w:ind w:firstLine="420"/>
        <w:jc w:val="center"/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华文中宋" w:eastAsia="方正小标宋简体" w:cs="黑体"/>
          <w:b w:val="0"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黑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知识产权意识提升项目资助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知识产权意识提升项目资助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深市监规〔20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〕10号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对深圳市知识产权创造、运用、保护、管理、服务等领域工作进行宣传、推广、普及，提升全社会知识产权意识。资助标准如下：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每年评选不超过15项，每项按照实际支出成本资助不超过100万元。本项目每年资助总额不超过600万元。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申请人属于依法登记注册的企事业单位、社会组织或者其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（二）项目主题应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为深圳市知识产权工作及成果，形式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宣传推广、公益广告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制作及推送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、重大政策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宣传解读</w:t>
      </w:r>
      <w:r>
        <w:rPr>
          <w:rFonts w:hint="eastAsia" w:ascii="仿宋_GB2312" w:hAnsi="仿宋_GB2312" w:eastAsia="仿宋_GB2312" w:cs="仿宋_GB2312"/>
          <w:sz w:val="32"/>
          <w:szCs w:val="32"/>
        </w:rPr>
        <w:t>、热点问题或者主题活动深入报道等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市知识产权主管部门发布的意识提升年度重点主题清单要求的项目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（三）项目已完成的，完成时间应在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1月1日之后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实施中或策划中的，申请人需具备组织宣传活动的专业人员团队、相关工作能力及活动开展的其他必要条件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，并承诺在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1年内完成项目计划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8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8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申请人根据单位性质提交事业单位法人证书、民办非企业单位登记证书等主体资格材料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left="17" w:leftChars="8" w:firstLine="620" w:firstLineChars="194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申请人自行申报的</w:t>
      </w:r>
      <w:r>
        <w:rPr>
          <w:rFonts w:hint="default" w:ascii="仿宋_GB2312" w:eastAsia="仿宋_GB2312"/>
          <w:sz w:val="32"/>
          <w:szCs w:val="32"/>
          <w:highlight w:val="none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</w:rPr>
        <w:t>（参照系统模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板）及经办人相关资料。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（三）项目已完成的，需提交相关工作总结材料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1.活动总结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内容包括但不限于：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主题、背景意义、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形式、时间地点、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对象及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活动辐射范围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团队人员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名单、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效果与完成情况。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2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2.相关佐证材料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0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提交现场活动照片、现场签到表（线上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宣传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需提供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链接及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网页截图）、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通知、新闻稿（请提供网页链接及截图）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2" w:firstLineChars="200"/>
        <w:jc w:val="left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3.经费使用情况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0" w:firstLineChars="200"/>
        <w:jc w:val="left"/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需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highlight w:val="none"/>
          <w:lang w:eastAsia="zh-CN"/>
        </w:rPr>
        <w:t>提供由有资质的第三方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eastAsia="zh-CN"/>
        </w:rPr>
        <w:t>依法</w:t>
      </w:r>
      <w:r>
        <w:rPr>
          <w:rFonts w:hint="default" w:ascii="仿宋_GB2312" w:eastAsia="仿宋_GB2312" w:cs="Times New Roman"/>
          <w:b w:val="0"/>
          <w:bCs w:val="0"/>
          <w:sz w:val="32"/>
          <w:szCs w:val="32"/>
          <w:highlight w:val="none"/>
          <w:lang w:eastAsia="zh-CN"/>
        </w:rPr>
        <w:t>出具的意识提升工作成本审计报告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（四）项目未完成的，需提交具备组织宣传活动的专业人员团队、相关工作能力及活动开展的其他必要条件的相关材料和活动方案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left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1.活动方案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内容包括但不限于：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宣传活动</w:t>
      </w:r>
      <w:r>
        <w:rPr>
          <w:rFonts w:hint="eastAsia" w:ascii="仿宋_GB2312" w:eastAsia="仿宋_GB2312"/>
          <w:sz w:val="32"/>
          <w:szCs w:val="32"/>
          <w:highlight w:val="none"/>
        </w:rPr>
        <w:t>主题、背景意义、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  <w:highlight w:val="none"/>
        </w:rPr>
        <w:t>形式、时间地点、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  <w:highlight w:val="none"/>
        </w:rPr>
        <w:t>对象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及预计辐射范围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工作团队情况、进度安排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eastAsia="仿宋_GB2312"/>
          <w:sz w:val="32"/>
          <w:szCs w:val="32"/>
          <w:highlight w:val="none"/>
        </w:rPr>
        <w:t>效果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（含定量指标与定性指标）等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left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2.人员团队信息及相关材料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</w:rPr>
        <w:t>知识产权工作人员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名单（系统模板，需注明项目联系人或项目负责人）及</w:t>
      </w:r>
      <w:r>
        <w:rPr>
          <w:rFonts w:hint="eastAsia" w:ascii="仿宋_GB2312" w:eastAsia="仿宋_GB2312"/>
          <w:sz w:val="32"/>
          <w:szCs w:val="32"/>
        </w:rPr>
        <w:t>人员能力相关材料</w:t>
      </w:r>
      <w:r>
        <w:rPr>
          <w:rFonts w:hint="eastAsia" w:ascii="仿宋_GB2312" w:eastAsia="仿宋_GB2312"/>
          <w:sz w:val="32"/>
          <w:szCs w:val="32"/>
          <w:lang w:eastAsia="zh-CN"/>
        </w:rPr>
        <w:t>，包括但不限于：</w:t>
      </w:r>
      <w:r>
        <w:rPr>
          <w:rFonts w:hint="eastAsia" w:ascii="仿宋_GB2312" w:eastAsia="仿宋_GB2312"/>
          <w:sz w:val="32"/>
          <w:szCs w:val="32"/>
        </w:rPr>
        <w:t>学历或学位证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、专业资格职称</w:t>
      </w:r>
      <w:r>
        <w:rPr>
          <w:rFonts w:hint="eastAsia" w:ascii="仿宋_GB2312" w:eastAsia="仿宋_GB2312"/>
          <w:sz w:val="32"/>
          <w:szCs w:val="32"/>
          <w:lang w:eastAsia="zh-CN"/>
        </w:rPr>
        <w:t>情况（如有）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3个月（2023年1月-2023年3月）</w:t>
      </w:r>
      <w:r>
        <w:rPr>
          <w:rFonts w:hint="eastAsia" w:ascii="仿宋_GB2312" w:eastAsia="仿宋_GB2312"/>
          <w:sz w:val="32"/>
          <w:szCs w:val="32"/>
        </w:rPr>
        <w:t>社保缴纳费用明细表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知识产权工作经历</w:t>
      </w:r>
      <w:r>
        <w:rPr>
          <w:rFonts w:hint="eastAsia" w:ascii="仿宋_GB2312" w:eastAsia="仿宋_GB2312"/>
          <w:sz w:val="32"/>
          <w:szCs w:val="32"/>
          <w:lang w:eastAsia="zh-CN"/>
        </w:rPr>
        <w:t>、相关</w:t>
      </w:r>
      <w:r>
        <w:rPr>
          <w:rFonts w:hint="eastAsia" w:ascii="仿宋_GB2312" w:eastAsia="仿宋_GB2312"/>
          <w:sz w:val="32"/>
          <w:szCs w:val="32"/>
        </w:rPr>
        <w:t>证书等。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left"/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3.经费测算明细表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Chars="0" w:firstLine="640" w:firstLineChars="200"/>
        <w:jc w:val="left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需列明经费测算明细。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（五）其他相关材料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2" w:firstLineChars="200"/>
        <w:jc w:val="left"/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过往项目经验（如有）：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过往主/承办过国家、省、市知识产权宣传项目的，需上传相关活动清单及相应的佐证材料。</w:t>
      </w:r>
    </w:p>
    <w:p>
      <w:pPr>
        <w:pStyle w:val="8"/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佐证材料</w:t>
      </w:r>
      <w:r>
        <w:rPr>
          <w:rFonts w:hint="eastAsia" w:ascii="仿宋_GB2312" w:eastAsia="仿宋_GB2312"/>
          <w:sz w:val="32"/>
          <w:szCs w:val="32"/>
          <w:highlight w:val="none"/>
        </w:rPr>
        <w:t>包括但不限于：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  <w:highlight w:val="none"/>
        </w:rPr>
        <w:t>主题、背景意义、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eastAsia="仿宋_GB2312"/>
          <w:sz w:val="32"/>
          <w:szCs w:val="32"/>
          <w:highlight w:val="none"/>
        </w:rPr>
        <w:t>形式、时间地点、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  <w:highlight w:val="none"/>
        </w:rPr>
        <w:t>对象及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辐射范围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团队人员安排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  <w:highlight w:val="none"/>
        </w:rPr>
        <w:t>效果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以上第（一）至第（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知识产权意识提升项目资助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知识产权意识提升项目资助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）”</w:t>
      </w:r>
      <w:r>
        <w:rPr>
          <w:rFonts w:hint="eastAsia" w:ascii="仿宋_GB2312" w:eastAsia="仿宋_GB2312"/>
          <w:sz w:val="32"/>
          <w:szCs w:val="32"/>
        </w:rPr>
        <w:t>，或者直接搜索“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知识产权意识提升项目资助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申报系统技术支持电话：0755-23602720。申报业务咨询电话：0755-83070173、0755-83070752。办公时间：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default" w:ascii="仿宋_GB2312" w:eastAsia="仿宋_GB2312"/>
          <w:sz w:val="32"/>
        </w:rPr>
        <w:t>事中资助项目签订合同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  <w:highlight w:val="none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《深圳市市场监督管理局知识产权领域专项资金操作规程》第四十条规定：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  <w:highlight w:val="none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四</w:t>
      </w:r>
      <w:r>
        <w:rPr>
          <w:rFonts w:ascii="仿宋_GB2312" w:eastAsia="仿宋_GB2312"/>
          <w:b w:val="0"/>
          <w:sz w:val="32"/>
          <w:szCs w:val="32"/>
          <w:highlight w:val="none"/>
        </w:rPr>
        <w:t>十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一</w:t>
      </w:r>
      <w:r>
        <w:rPr>
          <w:rFonts w:ascii="仿宋_GB2312" w:eastAsia="仿宋_GB2312"/>
          <w:b w:val="0"/>
          <w:sz w:val="32"/>
          <w:szCs w:val="32"/>
          <w:highlight w:val="none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受委托的第三方审计机构或专业机构在审计或核验</w:t>
      </w:r>
      <w:r>
        <w:rPr>
          <w:rFonts w:hint="eastAsia" w:ascii="仿宋_GB2312" w:eastAsia="仿宋_GB2312"/>
          <w:b w:val="0"/>
          <w:sz w:val="32"/>
          <w:szCs w:val="32"/>
        </w:rPr>
        <w:t>过程中，存在弄虚作假、隐瞒事实真相或与受资助单位串通作弊并出具相关报告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8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无年审、年检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2023年度深圳市知识产权专项资金意识提升资助项目重点方向清单</w:t>
      </w:r>
    </w:p>
    <w:tbl>
      <w:tblPr>
        <w:tblStyle w:val="6"/>
        <w:tblW w:w="14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175"/>
        <w:gridCol w:w="9780"/>
        <w:gridCol w:w="1110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资助主题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资助内容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" w:eastAsia="zh-CN"/>
              </w:rPr>
              <w:t>拟资助</w:t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" w:eastAsia="zh-CN"/>
              </w:rPr>
              <w:t>金额</w:t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/万元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深圳市知识产权故事及品牌建设项目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</w:rPr>
              <w:t>围绕深圳知识产权大事件及“20+8”产业知识产权高质量发展，策划并实施视频类新闻报道，打造深圳知识产权宣传品牌，讲好深圳知识产权故事。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100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青少年知识产权意识提升专题活动策划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</w:rPr>
              <w:t>以新颖活泼的形式打造青少年知识产权意识提升品牌栏目，组织开展青少年知识产权实践活动，拓展青少年“线上+线下”知识产权活动空间。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知识产权文化传播多媒体制作推广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依托知识产权领域新媒体，运用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专业视角</w:t>
            </w:r>
            <w:r>
              <w:rPr>
                <w:rFonts w:hint="default" w:ascii="宋体" w:hAnsi="宋体" w:cs="宋体"/>
                <w:szCs w:val="21"/>
              </w:rPr>
              <w:t>，策划、拍摄、制作深圳知识产权视频故事，讲述深圳知识产权生动实践和创新经验，利用多媒体手段实现快速传播和良性互动。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60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知识产权特色栏目创建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依托知识产权领域权威杂志或报刊，打造知识产权特色栏目，针对我市知识产权热点、焦点事件开展宣传报道，扩大深圳知识产权工作的影响力。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知识产权助力产业发展专题宣传项目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围绕“20+8”重点产业集群知识产权工作和成果开展走访调研，以图文形式进行深度报道，形成深圳知识产权高质量新闻报道系列。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50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知识产权科普及政策宣传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制作发布知识产权科普、政策宣讲、线下活动视频和动画，以通俗易懂的形式普及相关知识、政策及工作动态。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高校知识产权意识提升项目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Cs w:val="21"/>
              </w:rPr>
              <w:t>策划并实施“高校知识产权意识提升”活动，依托我市“20+8”产业知识产权优势组织开展系列活动，帮助高校学生深入了解知识产权，助力高校知识产权人才培养。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50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“知识产权进校园”教育普及项目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针对中小学学生年龄特点和学习特点，开展形式多样的知识产权进校园系列活动，强化中小学生知识产权教育普及。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eastAsia="zh-CN"/>
              </w:rPr>
              <w:t>50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知识产权保护专题宣传项目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szCs w:val="21"/>
              </w:rPr>
              <w:t>围绕知识产权纠纷多元化解和知识产权纠纷快速处理，策划系列活动并开展宣传，提升科研单位、企业和个体工商户等选择合适途径保护知识产权。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线下知识产权主题宣传推广项目</w:t>
            </w:r>
          </w:p>
        </w:tc>
        <w:tc>
          <w:tcPr>
            <w:tcW w:w="9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依托我市部分重点路段的LED屏幕、广告牌等资源，制作发布主题海报、宣传倡议及漫画等，营造尊重和保护知识产权文化氛围。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3FDF3625"/>
    <w:rsid w:val="100E1DFE"/>
    <w:rsid w:val="17FF63B1"/>
    <w:rsid w:val="3FDF3625"/>
    <w:rsid w:val="75FC04CA"/>
    <w:rsid w:val="EAF7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3446</Words>
  <Characters>3690</Characters>
  <Lines>0</Lines>
  <Paragraphs>0</Paragraphs>
  <TotalTime>0</TotalTime>
  <ScaleCrop>false</ScaleCrop>
  <LinksUpToDate>false</LinksUpToDate>
  <CharactersWithSpaces>3692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2023-04-14T19:27:00Z</dcterms:created>
  <dc:creator>liuyt1</dc:creator>
  <cp:lastModifiedBy>WANGQW</cp:lastModifiedBy>
  <dcterms:modified xsi:type="dcterms:W3CDTF">2023-04-17T13:00:38Z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1C5C5363E5D6414C99570EA6CDE6B8DC_12</vt:lpwstr>
  </property>
</Properties>
</file>