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华文中宋" w:hAnsi="华文中宋" w:eastAsia="华文中宋" w:cs="华文中宋"/>
          <w:b/>
          <w:sz w:val="44"/>
          <w:szCs w:val="44"/>
        </w:rPr>
      </w:pPr>
      <w:r>
        <w:rPr>
          <w:rFonts w:ascii="华文中宋" w:hAnsi="华文中宋" w:eastAsia="华文中宋" w:cs="华文中宋"/>
          <w:b/>
          <w:sz w:val="44"/>
          <w:szCs w:val="44"/>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10795</wp:posOffset>
                </wp:positionV>
                <wp:extent cx="991235" cy="447040"/>
                <wp:effectExtent l="0" t="0" r="0" b="7620"/>
                <wp:wrapSquare wrapText="bothSides"/>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991235" cy="447040"/>
                        </a:xfrm>
                        <a:prstGeom prst="rect">
                          <a:avLst/>
                        </a:prstGeom>
                        <a:noFill/>
                        <a:ln>
                          <a:noFill/>
                        </a:ln>
                      </wps:spPr>
                      <wps:txbx>
                        <w:txbxContent>
                          <w:p>
                            <w:pPr>
                              <w:rPr>
                                <w:rFonts w:ascii="宋体" w:hAnsi="宋体"/>
                                <w:b/>
                                <w:sz w:val="32"/>
                                <w:szCs w:val="32"/>
                              </w:rPr>
                            </w:pPr>
                            <w:r>
                              <w:rPr>
                                <w:rFonts w:hint="eastAsia" w:ascii="宋体" w:hAnsi="宋体"/>
                                <w:b/>
                                <w:sz w:val="32"/>
                                <w:szCs w:val="32"/>
                              </w:rPr>
                              <w:t>附件</w:t>
                            </w:r>
                            <w:r>
                              <w:rPr>
                                <w:rFonts w:ascii="宋体" w:hAnsi="宋体"/>
                                <w:b/>
                                <w:sz w:val="32"/>
                                <w:szCs w:val="32"/>
                              </w:rPr>
                              <w:t>2</w:t>
                            </w:r>
                          </w:p>
                        </w:txbxContent>
                      </wps:txbx>
                      <wps:bodyPr rot="0" vert="horz" wrap="square" lIns="91440" tIns="45720" rIns="91440" bIns="45720" anchor="t" anchorCtr="false" upright="true">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top:0.85pt;height:35.2pt;width:78.05pt;mso-position-horizontal:left;mso-position-horizontal-relative:margin;mso-wrap-distance-bottom:3.6pt;mso-wrap-distance-left:9pt;mso-wrap-distance-right:9pt;mso-wrap-distance-top:3.6pt;z-index:251658240;mso-width-relative:page;mso-height-relative:margin;mso-height-percent:200;" filled="f" stroked="f" coordsize="21600,21600" o:gfxdata="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BYAAABkcnMvUEsBAhQAFAAAAAgAh07iQNIIwJHTAAAABQEAAA8AAAAAAAAA&#10;AQAgAAAAOAAAAGRycy9kb3ducmV2LnhtbFBLAQIUABQAAAAIAIdO4kC5wzhxAAIAANMDAAAOAAAA&#10;AAAAAAEAIAAAADgBAABkcnMvZTJvRG9jLnhtbFBLBQYAAAAABgAGAFkBAACqBQAAAAA=&#10;">
                <v:fill on="f" focussize="0,0"/>
                <v:stroke on="f"/>
                <v:imagedata o:title=""/>
                <o:lock v:ext="edit" aspectratio="f"/>
                <v:textbox style="mso-fit-shape-to-text:t;">
                  <w:txbxContent>
                    <w:p>
                      <w:pPr>
                        <w:rPr>
                          <w:rFonts w:ascii="宋体" w:hAnsi="宋体"/>
                          <w:b/>
                          <w:sz w:val="32"/>
                          <w:szCs w:val="32"/>
                        </w:rPr>
                      </w:pPr>
                      <w:r>
                        <w:rPr>
                          <w:rFonts w:hint="eastAsia" w:ascii="宋体" w:hAnsi="宋体"/>
                          <w:b/>
                          <w:sz w:val="32"/>
                          <w:szCs w:val="32"/>
                        </w:rPr>
                        <w:t>附件</w:t>
                      </w:r>
                      <w:r>
                        <w:rPr>
                          <w:rFonts w:ascii="宋体" w:hAnsi="宋体"/>
                          <w:b/>
                          <w:sz w:val="32"/>
                          <w:szCs w:val="32"/>
                        </w:rPr>
                        <w:t>2</w:t>
                      </w:r>
                    </w:p>
                  </w:txbxContent>
                </v:textbox>
                <w10:wrap type="square"/>
              </v:shape>
            </w:pict>
          </mc:Fallback>
        </mc:AlternateContent>
      </w:r>
    </w:p>
    <w:p>
      <w:pPr>
        <w:snapToGrid w:val="0"/>
        <w:spacing w:line="560" w:lineRule="exact"/>
        <w:jc w:val="center"/>
        <w:rPr>
          <w:rFonts w:ascii="华文中宋" w:hAnsi="华文中宋" w:eastAsia="华文中宋" w:cs="华文中宋"/>
          <w:b/>
          <w:sz w:val="44"/>
          <w:szCs w:val="44"/>
        </w:rPr>
      </w:pPr>
    </w:p>
    <w:p>
      <w:pPr>
        <w:snapToGrid w:val="0"/>
        <w:spacing w:line="560" w:lineRule="exact"/>
        <w:jc w:val="center"/>
        <w:rPr>
          <w:rFonts w:ascii="方正黑体_GBK" w:hAnsi="方正黑体_GBK" w:eastAsia="方正黑体_GBK" w:cs="方正黑体_GBK"/>
          <w:bCs/>
          <w:sz w:val="44"/>
          <w:szCs w:val="44"/>
        </w:rPr>
      </w:pPr>
      <w:r>
        <w:rPr>
          <w:rFonts w:hint="eastAsia" w:ascii="方正黑体_GBK" w:hAnsi="方正黑体_GBK" w:eastAsia="方正黑体_GBK" w:cs="方正黑体_GBK"/>
          <w:bCs/>
          <w:sz w:val="44"/>
          <w:szCs w:val="44"/>
        </w:rPr>
        <w:t>深圳市高标准农田建设规划（2021-2030年）起草说明</w:t>
      </w:r>
    </w:p>
    <w:p>
      <w:pPr>
        <w:snapToGrid w:val="0"/>
        <w:spacing w:line="560" w:lineRule="exact"/>
        <w:rPr>
          <w:rFonts w:ascii="仿宋_GB2312" w:hAnsi="宋体" w:eastAsia="仿宋_GB2312"/>
          <w:sz w:val="32"/>
          <w:szCs w:val="32"/>
        </w:rPr>
      </w:pPr>
      <w:bookmarkStart w:id="0" w:name="MAINLY_TO_NEW"/>
    </w:p>
    <w:bookmarkEnd w:id="0"/>
    <w:p>
      <w:pPr>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贯彻落实《农业农村部办公厅关于加快构建高标准农田建设规划体系的通知》（农办建〔2021〕8号）和《广东省高标准农田建设规划（2021—2030年）》（以下简称《省级规划》），按时保质保量完成高标准农田建设任务，为全国和全省高标准农田的高质量建设、高效率管理和高水平利用提供“深圳范例”和“深圳模式”，</w:t>
      </w:r>
      <w:r>
        <w:rPr>
          <w:rFonts w:hint="eastAsia" w:ascii="仿宋_GB2312" w:hAnsi="仿宋_GB2312" w:eastAsia="仿宋_GB2312" w:cs="仿宋_GB2312"/>
          <w:sz w:val="32"/>
          <w:szCs w:val="32"/>
        </w:rPr>
        <w:t>我局成立规划编制小组，经过考察学习、广泛调研和深入研究，先后两次</w:t>
      </w:r>
      <w:r>
        <w:rPr>
          <w:rFonts w:ascii="仿宋_GB2312" w:hAnsi="仿宋_GB2312" w:eastAsia="仿宋_GB2312" w:cs="仿宋_GB2312"/>
          <w:sz w:val="32"/>
          <w:szCs w:val="32"/>
        </w:rPr>
        <w:t>征求各相关单位</w:t>
      </w:r>
      <w:r>
        <w:rPr>
          <w:rFonts w:hint="eastAsia" w:ascii="仿宋_GB2312" w:hAnsi="仿宋_GB2312" w:eastAsia="仿宋_GB2312" w:cs="仿宋_GB2312"/>
          <w:sz w:val="32"/>
          <w:szCs w:val="32"/>
        </w:rPr>
        <w:t>意见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组织专家评审、</w:t>
      </w:r>
      <w:r>
        <w:rPr>
          <w:rFonts w:ascii="仿宋_GB2312" w:hAnsi="仿宋_GB2312" w:eastAsia="仿宋_GB2312" w:cs="仿宋_GB2312"/>
          <w:sz w:val="32"/>
          <w:szCs w:val="32"/>
        </w:rPr>
        <w:t>提请省农业农村厅审核</w:t>
      </w:r>
      <w:r>
        <w:rPr>
          <w:rFonts w:hint="eastAsia" w:ascii="仿宋_GB2312" w:hAnsi="仿宋_GB2312" w:eastAsia="仿宋_GB2312" w:cs="仿宋_GB2312"/>
          <w:sz w:val="32"/>
          <w:szCs w:val="32"/>
        </w:rPr>
        <w:t>通过</w:t>
      </w:r>
      <w:r>
        <w:rPr>
          <w:rFonts w:ascii="仿宋_GB2312" w:hAnsi="仿宋_GB2312" w:eastAsia="仿宋_GB2312" w:cs="仿宋_GB2312"/>
          <w:sz w:val="32"/>
          <w:szCs w:val="32"/>
        </w:rPr>
        <w:t>，形成《深圳市高标准农田建设规划（2021-2030年）（</w:t>
      </w:r>
      <w:r>
        <w:rPr>
          <w:rFonts w:hint="eastAsia" w:ascii="仿宋_GB2312" w:hAnsi="仿宋_GB2312" w:eastAsia="仿宋_GB2312" w:cs="仿宋_GB2312"/>
          <w:sz w:val="32"/>
          <w:szCs w:val="32"/>
        </w:rPr>
        <w:t>征求意见稿</w:t>
      </w:r>
      <w:r>
        <w:rPr>
          <w:rFonts w:ascii="仿宋_GB2312" w:hAnsi="仿宋_GB2312" w:eastAsia="仿宋_GB2312" w:cs="仿宋_GB2312"/>
          <w:sz w:val="32"/>
          <w:szCs w:val="32"/>
        </w:rPr>
        <w:t>）》（以下简称《市级规划（</w:t>
      </w:r>
      <w:r>
        <w:rPr>
          <w:rFonts w:hint="eastAsia" w:ascii="仿宋_GB2312" w:hAnsi="仿宋_GB2312" w:eastAsia="仿宋_GB2312" w:cs="仿宋_GB2312"/>
          <w:sz w:val="32"/>
          <w:szCs w:val="32"/>
        </w:rPr>
        <w:t>征求意见稿</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。现将有关情况说明如下：</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一、编制背景</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中央、国务院高度重视高标准农田建设。建设好、管理好、利用好高标准农田，是落实地方各级党委和政府粮食安全责任考核、提升耕地和永久基本农田质量、促进耕地和永久基本农田布局优化、推动耕地和永久基本农田保护利用模式创新的战略工程。“创新高度城市化地区耕地和永久基本农田保护利用模式”是党中央、国务院赋予深圳的历史使命，是深圳创建社会主义现代化强国城市范例必须回答的时代命题，也是深圳市新一轮高标准农田建设必须探索创新的重点方向。</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农业农村部办公厅关于加快构建高标准农田建设规划体系的通知》（农办建〔2021〕8号），原则上规划期内能承担高标准农田建设任务的市、县都要编制建设规划。经批准发布实施的各级高标准农田建设规划是安排农田建设项目和资金、农田建设激励评价等工作的重要依据，是今后一个时期系统开展高标准农田建设的行动指南。因此，聚力编制</w:t>
      </w:r>
      <w:r>
        <w:rPr>
          <w:rFonts w:ascii="仿宋_GB2312" w:hAnsi="仿宋_GB2312" w:eastAsia="仿宋_GB2312" w:cs="仿宋_GB2312"/>
          <w:sz w:val="32"/>
          <w:szCs w:val="32"/>
        </w:rPr>
        <w:t>《市级规划》</w:t>
      </w:r>
      <w:r>
        <w:rPr>
          <w:rFonts w:hint="eastAsia" w:ascii="仿宋_GB2312" w:hAnsi="仿宋_GB2312" w:eastAsia="仿宋_GB2312" w:cs="仿宋_GB2312"/>
          <w:sz w:val="32"/>
          <w:szCs w:val="32"/>
        </w:rPr>
        <w:t>是非常必要和紧迫的。</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二、编制依据</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《中华人民共和国土地管理法》（2019年修正）；</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《中华人民共和国土地管理法实施条例》（2021年）；</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《中共中央 国务院关于支持深圳建设中国特色社会主义先行示范区的意见》；</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《中共中央 国务院关于做好2022年全面推进乡村振兴重点工作的意见》（2022年中央一号文件）；</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《国务院办公厅关于切实加强高标准农田建设提升国家粮食安全保障能力的意见》（国办发〔2019〕50号）；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《中华人民共和国国民经济和社会发展第十四个五年规划和2035年远景目标纲要》；</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《全国高标准农田建设规划（2021—2030年）》（国函〔2021〕86号）；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《高标准农田建设质量管理办法（试行）》（农建发〔2021〕1号）；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《高标准农田建设通则》（GB/T 30600-2022）；</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《农业农村部关于印发高标准农田建设项目竣工验收办法》的通知（农建发〔2021〕5号）；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《农业农村部办公厅关于加快构建高标准农田建设规划体系的通知》（农办建〔2021〕8号）；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《农业农村部关于推进高标准农田改造提升的指导意见》（农建发〔2022〕5号）；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《自然资源部关于支持粤港澳大湾区和深圳市深化自然资源领域改革探索意见的函》（自然资函〔2020〕616号）；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《自然资源部 农业农村部 国家林业和草原局关于严格耕地用途管制有关问题的通知》（自然资发〔2021〕166号）；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《广东省人民政府办公厅关于进一步加强高标准农田建设的通知》（粤办函〔2020〕63号）；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《广东省人民政府印发关于进一步加强和改进耕地保护工作若干措施的通知》（粤府函〔2021〕130号）；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《广东省国民经济和社会发展第十四个五年规划和2035年远景目标纲要》（粤府〔2021〕28号）；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《广东省高标准农田建设规划（2021—2030年）》（粤农农〔2022〕87号）；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《广东省自然资源厅 广东省农业农村厅 广东省林业局关于严格耕地用途管制有关问题的通知》(粤自然资函（2022）434号)；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《深圳市国民经济和社会发展第十四个五年规划和二</w:t>
      </w:r>
      <w:r>
        <w:rPr>
          <w:rFonts w:hint="eastAsia" w:ascii="微软雅黑" w:hAnsi="微软雅黑" w:eastAsia="微软雅黑" w:cs="微软雅黑"/>
          <w:sz w:val="32"/>
          <w:szCs w:val="32"/>
        </w:rPr>
        <w:t>〇</w:t>
      </w:r>
      <w:r>
        <w:rPr>
          <w:rFonts w:hint="eastAsia" w:ascii="仿宋_GB2312" w:hAnsi="仿宋_GB2312" w:eastAsia="仿宋_GB2312" w:cs="仿宋_GB2312"/>
          <w:sz w:val="32"/>
          <w:szCs w:val="32"/>
        </w:rPr>
        <w:t>三五年远景目标纲要》；</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《深圳市国土空间规划保护与发展“十四五”规划》（深府〔2022〕24号）；</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《深圳国土空间总体规划（2020-2035年）》（草案，公示读本）；</w:t>
      </w:r>
    </w:p>
    <w:p>
      <w:pPr>
        <w:pStyle w:val="12"/>
        <w:numPr>
          <w:ilvl w:val="0"/>
          <w:numId w:val="1"/>
        </w:numPr>
        <w:snapToGrid w:val="0"/>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国家及省市相关法律法规、相关规划及技术标准等。</w:t>
      </w:r>
    </w:p>
    <w:p>
      <w:pPr>
        <w:snapToGrid w:val="0"/>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三、编制过程</w:t>
      </w:r>
    </w:p>
    <w:p>
      <w:pPr>
        <w:snapToGrid w:val="0"/>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（一）成立规划编制小组，起草征求意见稿</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我局成立了</w:t>
      </w:r>
      <w:r>
        <w:rPr>
          <w:rFonts w:ascii="仿宋_GB2312" w:hAnsi="仿宋_GB2312" w:eastAsia="仿宋_GB2312" w:cs="仿宋_GB2312"/>
          <w:sz w:val="32"/>
          <w:szCs w:val="32"/>
        </w:rPr>
        <w:t>《市级规划》</w:t>
      </w:r>
      <w:r>
        <w:rPr>
          <w:rFonts w:hint="eastAsia" w:ascii="仿宋_GB2312" w:hAnsi="仿宋_GB2312" w:eastAsia="仿宋_GB2312" w:cs="仿宋_GB2312"/>
          <w:sz w:val="32"/>
          <w:szCs w:val="32"/>
        </w:rPr>
        <w:t>编制小组，先后组织技术骨干参加农业农村部和省农业农村厅举办的各类高标准农田建设相关技术培训，深入开展实地调研并充分听取各区意见和建议，广泛摸查各区农田建设面临的主要问题和核心诉求，衔接最新国土空间规划成果和第三次全国国土调查成果，在深入分析研究的基础上，将《省级规划》确定的建设任务分解落实到各区，对全市高标准农田建设模式、利用模式和管理模式创新提出指引，形成《市级规划（征求意见稿）》。</w:t>
      </w:r>
    </w:p>
    <w:p>
      <w:pPr>
        <w:snapToGrid w:val="0"/>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（二）征求相关单位意见，广泛凝聚共识</w:t>
      </w:r>
    </w:p>
    <w:p>
      <w:pPr>
        <w:snapToGrid w:val="0"/>
        <w:spacing w:line="560" w:lineRule="exact"/>
        <w:ind w:firstLine="640" w:firstLineChars="200"/>
        <w:rPr>
          <w:rFonts w:ascii="仿宋_GB2312" w:eastAsia="仿宋_GB2312"/>
          <w:bCs/>
          <w:sz w:val="32"/>
          <w:szCs w:val="32"/>
        </w:rPr>
      </w:pPr>
      <w:r>
        <w:rPr>
          <w:rFonts w:hint="eastAsia" w:ascii="仿宋_GB2312" w:eastAsia="仿宋_GB2312"/>
          <w:bCs/>
          <w:sz w:val="32"/>
          <w:szCs w:val="32"/>
        </w:rPr>
        <w:t>202</w:t>
      </w:r>
      <w:r>
        <w:rPr>
          <w:rFonts w:ascii="仿宋_GB2312" w:eastAsia="仿宋_GB2312"/>
          <w:bCs/>
          <w:sz w:val="32"/>
          <w:szCs w:val="32"/>
        </w:rPr>
        <w:t>2</w:t>
      </w:r>
      <w:r>
        <w:rPr>
          <w:rFonts w:hint="eastAsia" w:ascii="仿宋_GB2312" w:eastAsia="仿宋_GB2312"/>
          <w:bCs/>
          <w:sz w:val="32"/>
          <w:szCs w:val="32"/>
        </w:rPr>
        <w:t>年</w:t>
      </w:r>
      <w:r>
        <w:rPr>
          <w:rFonts w:ascii="仿宋_GB2312" w:eastAsia="仿宋_GB2312"/>
          <w:bCs/>
          <w:sz w:val="32"/>
          <w:szCs w:val="32"/>
        </w:rPr>
        <w:t>11</w:t>
      </w:r>
      <w:r>
        <w:rPr>
          <w:rFonts w:hint="eastAsia" w:ascii="仿宋_GB2312" w:eastAsia="仿宋_GB2312"/>
          <w:bCs/>
          <w:sz w:val="32"/>
          <w:szCs w:val="32"/>
        </w:rPr>
        <w:t>月</w:t>
      </w:r>
      <w:r>
        <w:rPr>
          <w:rFonts w:ascii="仿宋_GB2312" w:eastAsia="仿宋_GB2312"/>
          <w:bCs/>
          <w:sz w:val="32"/>
          <w:szCs w:val="32"/>
        </w:rPr>
        <w:t>21</w:t>
      </w:r>
      <w:r>
        <w:rPr>
          <w:rFonts w:hint="eastAsia" w:ascii="仿宋_GB2312" w:eastAsia="仿宋_GB2312"/>
          <w:bCs/>
          <w:sz w:val="32"/>
          <w:szCs w:val="32"/>
        </w:rPr>
        <w:t>日，我局发文征求了市发展和改革委员会、市工业和信息化局、市财政局、市规划和自然资源局、市生态环境局等1</w:t>
      </w:r>
      <w:r>
        <w:rPr>
          <w:rFonts w:ascii="仿宋_GB2312" w:eastAsia="仿宋_GB2312"/>
          <w:bCs/>
          <w:sz w:val="32"/>
          <w:szCs w:val="32"/>
        </w:rPr>
        <w:t>3</w:t>
      </w:r>
      <w:r>
        <w:rPr>
          <w:rFonts w:hint="eastAsia" w:ascii="仿宋_GB2312" w:eastAsia="仿宋_GB2312"/>
          <w:bCs/>
          <w:sz w:val="32"/>
          <w:szCs w:val="32"/>
        </w:rPr>
        <w:t>个市直单位，11个区政府（新区、特别合作区管委会），以及我局相关单位意见。2</w:t>
      </w:r>
      <w:r>
        <w:rPr>
          <w:rFonts w:ascii="仿宋_GB2312" w:eastAsia="仿宋_GB2312"/>
          <w:bCs/>
          <w:sz w:val="32"/>
          <w:szCs w:val="32"/>
        </w:rPr>
        <w:t>023</w:t>
      </w:r>
      <w:r>
        <w:rPr>
          <w:rFonts w:hint="eastAsia" w:ascii="仿宋_GB2312" w:eastAsia="仿宋_GB2312"/>
          <w:bCs/>
          <w:sz w:val="32"/>
          <w:szCs w:val="32"/>
        </w:rPr>
        <w:t>年2月2</w:t>
      </w:r>
      <w:r>
        <w:rPr>
          <w:rFonts w:ascii="仿宋_GB2312" w:eastAsia="仿宋_GB2312"/>
          <w:bCs/>
          <w:sz w:val="32"/>
          <w:szCs w:val="32"/>
        </w:rPr>
        <w:t>7</w:t>
      </w:r>
      <w:r>
        <w:rPr>
          <w:rFonts w:hint="eastAsia" w:ascii="仿宋_GB2312" w:eastAsia="仿宋_GB2312"/>
          <w:bCs/>
          <w:sz w:val="32"/>
          <w:szCs w:val="32"/>
        </w:rPr>
        <w:t>日，我局再次发文向相关单位进行了第二轮征求意见。</w:t>
      </w:r>
    </w:p>
    <w:p>
      <w:pPr>
        <w:snapToGrid w:val="0"/>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（三）召开专家论证会，强化技术审查</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日，我局组织召开了《市级规划》专家咨询会，来自农田建设、规划国土等</w:t>
      </w:r>
      <w:r>
        <w:rPr>
          <w:rFonts w:hint="eastAsia" w:ascii="仿宋_GB2312" w:eastAsia="仿宋_GB2312"/>
          <w:bCs/>
          <w:sz w:val="32"/>
          <w:szCs w:val="32"/>
        </w:rPr>
        <w:t>相关领域的7名专家</w:t>
      </w:r>
      <w:r>
        <w:rPr>
          <w:rFonts w:hint="eastAsia" w:ascii="仿宋_GB2312" w:eastAsia="仿宋_GB2312"/>
          <w:bCs/>
          <w:sz w:val="32"/>
          <w:szCs w:val="32"/>
        </w:rPr>
        <w:t>提出了评审意见。评审专家一致认为，</w:t>
      </w:r>
      <w:r>
        <w:rPr>
          <w:rFonts w:hint="eastAsia" w:ascii="仿宋_GB2312" w:hAnsi="仿宋_GB2312" w:eastAsia="仿宋_GB2312" w:cs="仿宋_GB2312"/>
          <w:sz w:val="32"/>
          <w:szCs w:val="32"/>
        </w:rPr>
        <w:t>《市级规划》调研充分，基础研究扎实，工作思路清晰，规划理念先进且具有</w:t>
      </w:r>
      <w:bookmarkStart w:id="1" w:name="_GoBack"/>
      <w:bookmarkEnd w:id="1"/>
      <w:r>
        <w:rPr>
          <w:rFonts w:hint="eastAsia" w:ascii="仿宋_GB2312" w:hAnsi="仿宋_GB2312" w:eastAsia="仿宋_GB2312" w:cs="仿宋_GB2312"/>
          <w:sz w:val="32"/>
          <w:szCs w:val="32"/>
        </w:rPr>
        <w:t>前瞻性，规划目标明确，技术路线正确，规划方案科学合理，对国家和省级高标准农田建设规划进行了细化落实，符合深圳实际，对深圳市新一轮高标准农田建设有较强的指导作用，可作为全市安排高标准农田建设项目和资金等相关工作的依据。同时，评审专家提出“围绕国家战略和深圳先行示范使命，进一步优化支撑农业科技创新先行示范区建设的相关内容；进一步优化各区相关任务安排，增强规划实施的可操作性”等修改意见和建议。</w:t>
      </w:r>
    </w:p>
    <w:p>
      <w:pPr>
        <w:snapToGrid w:val="0"/>
        <w:spacing w:line="560" w:lineRule="exact"/>
        <w:ind w:firstLine="642" w:firstLineChars="200"/>
        <w:rPr>
          <w:rFonts w:ascii="楷体_GB2312" w:hAnsi="楷体_GB2312" w:eastAsia="楷体_GB2312" w:cs="楷体_GB2312"/>
          <w:b/>
          <w:sz w:val="32"/>
          <w:szCs w:val="32"/>
        </w:rPr>
      </w:pPr>
      <w:r>
        <w:rPr>
          <w:rFonts w:hint="eastAsia" w:ascii="楷体_GB2312" w:hAnsi="楷体_GB2312" w:eastAsia="楷体_GB2312" w:cs="楷体_GB2312"/>
          <w:b/>
          <w:sz w:val="32"/>
          <w:szCs w:val="32"/>
        </w:rPr>
        <w:t>（四）上报省农业农村厅审核</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2022年12月20日，广东省农业农村厅对深圳</w:t>
      </w:r>
      <w:r>
        <w:rPr>
          <w:rFonts w:ascii="仿宋_GB2312" w:hAnsi="仿宋_GB2312" w:eastAsia="仿宋_GB2312" w:cs="仿宋_GB2312"/>
          <w:sz w:val="32"/>
          <w:szCs w:val="32"/>
        </w:rPr>
        <w:t>《市级规划》</w:t>
      </w:r>
      <w:r>
        <w:rPr>
          <w:rFonts w:hint="eastAsia" w:ascii="仿宋_GB2312" w:hAnsi="仿宋_GB2312" w:eastAsia="仿宋_GB2312" w:cs="仿宋_GB2312"/>
          <w:sz w:val="32"/>
          <w:szCs w:val="32"/>
        </w:rPr>
        <w:t>审核批复，请我市在规划中按照 2022 年中央一号文件精神和省级规划要求,明确新建高标准农田建设项目建成后原则上要全部用于粮食生产。</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bCs/>
          <w:sz w:val="32"/>
          <w:szCs w:val="32"/>
        </w:rPr>
        <w:t>我局根据省农业农村厅审核意见、各单位意见及专家意见，对</w:t>
      </w:r>
      <w:r>
        <w:rPr>
          <w:rFonts w:hint="eastAsia" w:ascii="仿宋_GB2312" w:hAnsi="仿宋_GB2312" w:eastAsia="仿宋_GB2312" w:cs="仿宋_GB2312"/>
          <w:sz w:val="32"/>
          <w:szCs w:val="32"/>
        </w:rPr>
        <w:t>《市级规划（征求意见稿）》进行了修改完善。</w:t>
      </w:r>
    </w:p>
    <w:p>
      <w:pPr>
        <w:snapToGrid w:val="0"/>
        <w:spacing w:line="560" w:lineRule="exact"/>
        <w:ind w:firstLine="640" w:firstLineChars="200"/>
        <w:rPr>
          <w:rFonts w:ascii="仿宋_GB2312" w:eastAsia="仿宋_GB2312"/>
          <w:bCs/>
          <w:color w:val="FF0000"/>
          <w:sz w:val="32"/>
          <w:szCs w:val="32"/>
        </w:rPr>
      </w:pPr>
      <w:r>
        <w:rPr>
          <w:rFonts w:hint="eastAsia" w:ascii="仿宋_GB2312" w:hAnsi="仿宋_GB2312" w:eastAsia="仿宋_GB2312" w:cs="仿宋_GB2312"/>
          <w:sz w:val="32"/>
          <w:szCs w:val="32"/>
        </w:rPr>
        <w:t>下一步，我局将</w:t>
      </w:r>
      <w:r>
        <w:rPr>
          <w:rFonts w:hint="eastAsia" w:ascii="仿宋_GB2312" w:eastAsia="仿宋_GB2312"/>
          <w:bCs/>
          <w:sz w:val="32"/>
          <w:szCs w:val="32"/>
        </w:rPr>
        <w:t>按照《深圳市人民政府关于印发重大行政决策程序实施办法的通知》（深府规〔2023〕2号）的有关要求，推进完善后续相关流程。</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四、主要内容</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《市级规划（征求意见稿）》共十章，约3万字。</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第一章规划基础。总结取得成效、主要挑战和独特优势。</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第二章总体要求，明确指导思想、基本原则、发展定位和建设目标。</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第三章建设布局和建设任务，明确建设布局和分解建设任务。</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第四章建设标准和建设内容，明确建设和投资标准，以及建设内容要求。</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第五章创新高标准农田利用模式，提出丰富农田功能体系，探索分类引导农田利用。</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第六章创新高标准农田管理模式，明确深入推进企业运营，大力发展数智田园，建立“项目区”机制。</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第七章重点示范工程，提出宜机化改造、数字农田、绿色农田、土壤改良、高效节水灌溉、都市美丽田园等六大示范工程。</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第八章建设监管和建后管护，从质量监管、竣工验收、建后管护、保护利用、上图入库等五方面提出规划要求。</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第九章投资估算和效益分析，明确投资估算、资金筹措，并提出预期效益。</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第十章实施保障，从组织领导、规划管理、科技支撑、考核监管等四方面提出规划实施的保障措施。</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五、创新之处</w:t>
      </w:r>
    </w:p>
    <w:p>
      <w:pPr>
        <w:snapToGrid w:val="0"/>
        <w:spacing w:line="530" w:lineRule="exact"/>
        <w:ind w:firstLine="642" w:firstLineChars="200"/>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率先创建适应市场需求的高标准农田发展模式。</w:t>
      </w:r>
      <w:r>
        <w:rPr>
          <w:rFonts w:hint="eastAsia" w:ascii="仿宋_GB2312" w:hAnsi="仿宋_GB2312" w:eastAsia="仿宋_GB2312" w:cs="仿宋_GB2312"/>
          <w:bCs/>
          <w:sz w:val="32"/>
          <w:szCs w:val="32"/>
        </w:rPr>
        <w:t>作为高度城市化地区，农田的功能和使命不同于乡村地区，应聚焦“藏粮于技”以更好地激发“藏粮于地”的潜力。基于此理念，深圳以服务都市农业高质量发展为导向，聚焦打造“试验田”和“示范田”，加快建设“技术输出型”未来都市田园，向全国输出技术、标准、种子、装备等，助推深圳都市农业高质量发展迈向新台阶和闯入新境界，奋力创建具有影响力的农业科技创新先行示范区。为此，率先提出高标准农田建设内容从</w:t>
      </w:r>
      <w:r>
        <w:rPr>
          <w:rFonts w:hint="eastAsia" w:ascii="仿宋_GB2312" w:hAnsi="仿宋_GB2312" w:eastAsia="仿宋_GB2312" w:cs="仿宋_GB2312"/>
          <w:sz w:val="32"/>
          <w:szCs w:val="32"/>
        </w:rPr>
        <w:t>“田、土、水、路、林、电、技、管”八个基础方面拓展到“工程+产业+生活”三配套融合，逐步构建“农业+”的高标准农田多种功能体系，因地制宜建设种业创新田、都市休闲田、高产示范田等</w:t>
      </w:r>
      <w:r>
        <w:rPr>
          <w:rFonts w:hint="eastAsia" w:ascii="仿宋_GB2312" w:hAnsi="仿宋_GB2312" w:eastAsia="仿宋_GB2312" w:cs="仿宋_GB2312"/>
          <w:bCs/>
          <w:sz w:val="32"/>
          <w:szCs w:val="32"/>
        </w:rPr>
        <w:t>。</w:t>
      </w:r>
    </w:p>
    <w:p>
      <w:pPr>
        <w:snapToGrid w:val="0"/>
        <w:spacing w:line="53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率先建设“数智田园”，探索打造数字化、机械化和智能化高度融合示范田。</w:t>
      </w:r>
      <w:r>
        <w:rPr>
          <w:rFonts w:hint="eastAsia" w:ascii="仿宋_GB2312" w:hAnsi="仿宋_GB2312" w:eastAsia="仿宋_GB2312" w:cs="仿宋_GB2312"/>
          <w:sz w:val="32"/>
          <w:szCs w:val="32"/>
        </w:rPr>
        <w:t>探索在“数字田园”的基础上，发挥深圳科技创新和现代装备优势，强化农田的科技赋能和装备支撑，实现都市农业发展“数字化”和“机械化”的深度融合，为高度城市化地区农田“机器代人”等探索新路径。为此，主张全面树立“数智田园”发展理念，以全要素融合的方式，充分利用数字技术，实现对高标准农田“建、用、管”全链条数字赋能、全过程智能运营、全方位智慧管控，建立完善“数智田园”信息平台，将农田纳入“一张图”管理，有序开展“数智田园”试点示范。</w:t>
      </w:r>
    </w:p>
    <w:p>
      <w:pPr>
        <w:snapToGrid w:val="0"/>
        <w:spacing w:line="53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保障“高标准”，创新高标准农田管护机制。</w:t>
      </w:r>
      <w:r>
        <w:rPr>
          <w:rFonts w:hint="eastAsia" w:ascii="仿宋_GB2312" w:hAnsi="仿宋_GB2312" w:eastAsia="仿宋_GB2312" w:cs="仿宋_GB2312"/>
          <w:sz w:val="32"/>
          <w:szCs w:val="32"/>
        </w:rPr>
        <w:t>按照《全国高标准农田建设规划（2021-2030年）》中农田建设“三分建，七分管”原则，深入贯彻党中央、国务院有关农业优先发展的系列要求，探索建立符合深圳实际的高标准农田建设投资标准。积极探索将高标准农田建设工程设施纳入农业保险范围和引入商业保险将保险赔付金作为管护资金来源。鼓励</w:t>
      </w:r>
      <w:r>
        <w:rPr>
          <w:rFonts w:ascii="仿宋_GB2312" w:hAnsi="仿宋_GB2312" w:eastAsia="仿宋_GB2312" w:cs="仿宋_GB2312"/>
          <w:sz w:val="32"/>
          <w:szCs w:val="32"/>
        </w:rPr>
        <w:t>各区</w:t>
      </w:r>
      <w:r>
        <w:rPr>
          <w:rFonts w:hint="eastAsia" w:ascii="仿宋_GB2312" w:hAnsi="仿宋_GB2312" w:eastAsia="仿宋_GB2312" w:cs="仿宋_GB2312"/>
          <w:sz w:val="32"/>
          <w:szCs w:val="32"/>
        </w:rPr>
        <w:t>政府专项债券用于农业农村的投入重点支持符合条件的高标准农田建设项目。</w:t>
      </w:r>
    </w:p>
    <w:p>
      <w:pPr>
        <w:spacing w:line="560" w:lineRule="exact"/>
        <w:ind w:firstLine="640" w:firstLineChars="200"/>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专此说明。</w:t>
      </w:r>
    </w:p>
    <w:sectPr>
      <w:footerReference r:id="rId3" w:type="default"/>
      <w:footerReference r:id="rId4" w:type="even"/>
      <w:pgSz w:w="11906" w:h="16838"/>
      <w:pgMar w:top="1701" w:right="1474" w:bottom="1701"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10" w:usb3="00000000" w:csb0="0004009F"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686681"/>
    </w:sdtPr>
    <w:sdtEndPr>
      <w:rPr>
        <w:rFonts w:asciiTheme="minorEastAsia" w:hAnsiTheme="minorEastAsia" w:eastAsiaTheme="minorEastAsia"/>
        <w:sz w:val="28"/>
        <w:szCs w:val="28"/>
      </w:rPr>
    </w:sdtEndPr>
    <w:sdtContent>
      <w:p>
        <w:pPr>
          <w:pStyle w:val="4"/>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0593401"/>
    </w:sdtPr>
    <w:sdtEndPr>
      <w:rPr>
        <w:rFonts w:asciiTheme="minorEastAsia" w:hAnsiTheme="minorEastAsia" w:eastAsiaTheme="minorEastAsia"/>
        <w:sz w:val="28"/>
        <w:szCs w:val="28"/>
      </w:rPr>
    </w:sdtEndPr>
    <w:sdtContent>
      <w:p>
        <w:pPr>
          <w:pStyle w:val="4"/>
          <w:ind w:right="36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AB18E7"/>
    <w:multiLevelType w:val="multilevel"/>
    <w:tmpl w:val="2AAB18E7"/>
    <w:lvl w:ilvl="0" w:tentative="0">
      <w:start w:val="1"/>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82"/>
    <w:rsid w:val="00006165"/>
    <w:rsid w:val="00011043"/>
    <w:rsid w:val="0003381E"/>
    <w:rsid w:val="000A47A9"/>
    <w:rsid w:val="000D7646"/>
    <w:rsid w:val="000E00FD"/>
    <w:rsid w:val="000E5810"/>
    <w:rsid w:val="00133CA0"/>
    <w:rsid w:val="00133D36"/>
    <w:rsid w:val="001433CF"/>
    <w:rsid w:val="001443D7"/>
    <w:rsid w:val="0015493D"/>
    <w:rsid w:val="001572E1"/>
    <w:rsid w:val="00167395"/>
    <w:rsid w:val="00174E49"/>
    <w:rsid w:val="001E2D09"/>
    <w:rsid w:val="00265C8D"/>
    <w:rsid w:val="0028526C"/>
    <w:rsid w:val="002A6B2C"/>
    <w:rsid w:val="002E616E"/>
    <w:rsid w:val="00351A21"/>
    <w:rsid w:val="0037140E"/>
    <w:rsid w:val="00383F69"/>
    <w:rsid w:val="003B467C"/>
    <w:rsid w:val="003C07BB"/>
    <w:rsid w:val="00407971"/>
    <w:rsid w:val="00440C82"/>
    <w:rsid w:val="004923E2"/>
    <w:rsid w:val="004B1CE1"/>
    <w:rsid w:val="004C4642"/>
    <w:rsid w:val="004D7F7F"/>
    <w:rsid w:val="0057584B"/>
    <w:rsid w:val="00575A46"/>
    <w:rsid w:val="00582532"/>
    <w:rsid w:val="00587F9F"/>
    <w:rsid w:val="00591F83"/>
    <w:rsid w:val="005A193A"/>
    <w:rsid w:val="005B4426"/>
    <w:rsid w:val="005D42DE"/>
    <w:rsid w:val="005F1A74"/>
    <w:rsid w:val="005F5F23"/>
    <w:rsid w:val="00613D8C"/>
    <w:rsid w:val="006205A8"/>
    <w:rsid w:val="0065017A"/>
    <w:rsid w:val="00670864"/>
    <w:rsid w:val="00672963"/>
    <w:rsid w:val="006A011A"/>
    <w:rsid w:val="006B4444"/>
    <w:rsid w:val="006C7CC0"/>
    <w:rsid w:val="006D0980"/>
    <w:rsid w:val="006D73BE"/>
    <w:rsid w:val="00704B1A"/>
    <w:rsid w:val="00734E65"/>
    <w:rsid w:val="00776548"/>
    <w:rsid w:val="0078427E"/>
    <w:rsid w:val="00793EA4"/>
    <w:rsid w:val="007E203B"/>
    <w:rsid w:val="007E333E"/>
    <w:rsid w:val="007E484E"/>
    <w:rsid w:val="00812DA8"/>
    <w:rsid w:val="00820ACD"/>
    <w:rsid w:val="00850EE1"/>
    <w:rsid w:val="00864C94"/>
    <w:rsid w:val="008678E7"/>
    <w:rsid w:val="00885D4D"/>
    <w:rsid w:val="008A4A5A"/>
    <w:rsid w:val="008C0F90"/>
    <w:rsid w:val="008D18BC"/>
    <w:rsid w:val="008E7B17"/>
    <w:rsid w:val="008F267E"/>
    <w:rsid w:val="00913257"/>
    <w:rsid w:val="00924EE0"/>
    <w:rsid w:val="00937002"/>
    <w:rsid w:val="00973682"/>
    <w:rsid w:val="009F5723"/>
    <w:rsid w:val="00A166C5"/>
    <w:rsid w:val="00A208B7"/>
    <w:rsid w:val="00A23E50"/>
    <w:rsid w:val="00A316F0"/>
    <w:rsid w:val="00A4256A"/>
    <w:rsid w:val="00A52E3F"/>
    <w:rsid w:val="00A8643E"/>
    <w:rsid w:val="00AD1486"/>
    <w:rsid w:val="00AD7578"/>
    <w:rsid w:val="00AE21EF"/>
    <w:rsid w:val="00B2415B"/>
    <w:rsid w:val="00B33897"/>
    <w:rsid w:val="00B6259C"/>
    <w:rsid w:val="00B632BE"/>
    <w:rsid w:val="00B96CBB"/>
    <w:rsid w:val="00BC1B48"/>
    <w:rsid w:val="00BD7B9E"/>
    <w:rsid w:val="00BE5B15"/>
    <w:rsid w:val="00C8610F"/>
    <w:rsid w:val="00CF0F56"/>
    <w:rsid w:val="00D10454"/>
    <w:rsid w:val="00D2104D"/>
    <w:rsid w:val="00D27EE7"/>
    <w:rsid w:val="00D40F0D"/>
    <w:rsid w:val="00D952DA"/>
    <w:rsid w:val="00DA57AC"/>
    <w:rsid w:val="00DC56B0"/>
    <w:rsid w:val="00DC6DED"/>
    <w:rsid w:val="00DD6710"/>
    <w:rsid w:val="00E25949"/>
    <w:rsid w:val="00E309EA"/>
    <w:rsid w:val="00E4190F"/>
    <w:rsid w:val="00E4499A"/>
    <w:rsid w:val="00E50E93"/>
    <w:rsid w:val="00EA4755"/>
    <w:rsid w:val="00F069E2"/>
    <w:rsid w:val="00F51F55"/>
    <w:rsid w:val="00F85975"/>
    <w:rsid w:val="00F9186F"/>
    <w:rsid w:val="00FB293D"/>
    <w:rsid w:val="00FD2F28"/>
    <w:rsid w:val="00FE2001"/>
    <w:rsid w:val="00FE387F"/>
    <w:rsid w:val="011178D4"/>
    <w:rsid w:val="0A4323BB"/>
    <w:rsid w:val="19887D5D"/>
    <w:rsid w:val="2B906D1A"/>
    <w:rsid w:val="2ED508F3"/>
    <w:rsid w:val="36D1697E"/>
    <w:rsid w:val="3F1E238D"/>
    <w:rsid w:val="48736778"/>
    <w:rsid w:val="4E721D9A"/>
    <w:rsid w:val="55D91957"/>
    <w:rsid w:val="569D0D36"/>
    <w:rsid w:val="63AC4F06"/>
    <w:rsid w:val="63CFDF90"/>
    <w:rsid w:val="71C53E93"/>
    <w:rsid w:val="748DF3F2"/>
    <w:rsid w:val="79BE9AE4"/>
    <w:rsid w:val="7BA69A19"/>
    <w:rsid w:val="7DF90EB7"/>
    <w:rsid w:val="7E7E784D"/>
    <w:rsid w:val="7EDF5204"/>
    <w:rsid w:val="7FCF6963"/>
    <w:rsid w:val="B7FB70C2"/>
    <w:rsid w:val="BCD6DDB3"/>
    <w:rsid w:val="C3BD5544"/>
    <w:rsid w:val="CAEF2B65"/>
    <w:rsid w:val="F5FF3977"/>
    <w:rsid w:val="F7D42333"/>
    <w:rsid w:val="F7D76ABB"/>
    <w:rsid w:val="FA9BEABB"/>
    <w:rsid w:val="FB3D0575"/>
    <w:rsid w:val="FCDA0058"/>
    <w:rsid w:val="FD7E624D"/>
    <w:rsid w:val="FEB752EB"/>
    <w:rsid w:val="FFDB34DB"/>
    <w:rsid w:val="FFEBB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caption"/>
    <w:next w:val="1"/>
    <w:qFormat/>
    <w:uiPriority w:val="99"/>
    <w:pPr>
      <w:spacing w:beforeLines="50" w:afterLines="25"/>
      <w:jc w:val="center"/>
    </w:pPr>
    <w:rPr>
      <w:rFonts w:ascii="Times New Roman" w:hAnsi="Times New Roman" w:eastAsia="黑体" w:cs="Times New Roman"/>
      <w:sz w:val="24"/>
      <w:szCs w:val="21"/>
      <w:lang w:val="en-US" w:eastAsia="zh-CN" w:bidi="ar-SA"/>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Title"/>
    <w:basedOn w:val="1"/>
    <w:next w:val="1"/>
    <w:link w:val="13"/>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标题 字符"/>
    <w:basedOn w:val="9"/>
    <w:link w:val="7"/>
    <w:qFormat/>
    <w:uiPriority w:val="10"/>
    <w:rPr>
      <w:rFonts w:asciiTheme="majorHAnsi" w:hAnsiTheme="majorHAnsi" w:eastAsiaTheme="majorEastAsia" w:cstheme="majorBidi"/>
      <w:b/>
      <w:bCs/>
      <w:kern w:val="2"/>
      <w:sz w:val="32"/>
      <w:szCs w:val="32"/>
    </w:rPr>
  </w:style>
  <w:style w:type="character" w:customStyle="1" w:styleId="14">
    <w:name w:val="日期 字符"/>
    <w:basedOn w:val="9"/>
    <w:link w:val="3"/>
    <w:semiHidden/>
    <w:qFormat/>
    <w:uiPriority w:val="99"/>
    <w:rPr>
      <w:kern w:val="2"/>
      <w:sz w:val="21"/>
      <w:szCs w:val="24"/>
    </w:rPr>
  </w:style>
  <w:style w:type="paragraph" w:customStyle="1" w:styleId="15">
    <w:name w:val="表格"/>
    <w:qFormat/>
    <w:uiPriority w:val="0"/>
    <w:pPr>
      <w:jc w:val="center"/>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563</Words>
  <Characters>3213</Characters>
  <Lines>26</Lines>
  <Paragraphs>7</Paragraphs>
  <TotalTime>3</TotalTime>
  <ScaleCrop>false</ScaleCrop>
  <LinksUpToDate>false</LinksUpToDate>
  <CharactersWithSpaces>3769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2023-04-12T13:53:00Z</dcterms:created>
  <dc:creator>He Hong Bin</dc:creator>
  <cp:lastModifiedBy>zengjg</cp:lastModifiedBy>
  <dcterms:modified xsi:type="dcterms:W3CDTF">2023-04-13T19:43:22Z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