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98" w:firstLineChars="45"/>
        <w:jc w:val="center"/>
        <w:textAlignment w:val="auto"/>
        <w:outlineLvl w:val="0"/>
        <w:rPr>
          <w:rFonts w:hint="default" w:ascii="CESI小标宋-GB2312" w:hAnsi="CESI小标宋-GB2312" w:eastAsia="CESI小标宋-GB2312" w:cs="CESI小标宋-GB2312"/>
          <w:b w:val="0"/>
          <w:bCs/>
          <w:color w:val="auto"/>
          <w:kern w:val="0"/>
          <w:sz w:val="44"/>
          <w:szCs w:val="44"/>
          <w:highlight w:val="none"/>
          <w:shd w:val="clear" w:color="auto" w:fill="auto"/>
          <w:lang w:val="en-US" w:eastAsia="zh-CN"/>
        </w:rPr>
      </w:pPr>
      <w:bookmarkStart w:id="1" w:name="_GoBack"/>
      <w:r>
        <w:rPr>
          <w:rFonts w:hint="eastAsia" w:ascii="CESI小标宋-GB2312" w:hAnsi="CESI小标宋-GB2312" w:eastAsia="CESI小标宋-GB2312" w:cs="CESI小标宋-GB2312"/>
          <w:b w:val="0"/>
          <w:bCs/>
          <w:color w:val="auto"/>
          <w:kern w:val="0"/>
          <w:sz w:val="44"/>
          <w:szCs w:val="44"/>
          <w:highlight w:val="none"/>
          <w:shd w:val="clear" w:color="auto" w:fill="auto"/>
        </w:rPr>
        <w:t>深圳市市场监督管理局202</w:t>
      </w:r>
      <w:r>
        <w:rPr>
          <w:rFonts w:hint="eastAsia" w:ascii="CESI小标宋-GB2312" w:hAnsi="CESI小标宋-GB2312" w:eastAsia="CESI小标宋-GB2312" w:cs="CESI小标宋-GB2312"/>
          <w:b w:val="0"/>
          <w:bCs/>
          <w:color w:val="auto"/>
          <w:kern w:val="0"/>
          <w:sz w:val="44"/>
          <w:szCs w:val="44"/>
          <w:highlight w:val="none"/>
          <w:shd w:val="clear" w:color="auto" w:fill="auto"/>
          <w:lang w:val="en-US" w:eastAsia="zh-CN"/>
        </w:rPr>
        <w:t>3</w:t>
      </w:r>
      <w:r>
        <w:rPr>
          <w:rFonts w:hint="eastAsia" w:ascii="CESI小标宋-GB2312" w:hAnsi="CESI小标宋-GB2312" w:eastAsia="CESI小标宋-GB2312" w:cs="CESI小标宋-GB2312"/>
          <w:b w:val="0"/>
          <w:bCs/>
          <w:color w:val="auto"/>
          <w:kern w:val="0"/>
          <w:sz w:val="44"/>
          <w:szCs w:val="44"/>
          <w:highlight w:val="none"/>
          <w:shd w:val="clear" w:color="auto" w:fill="auto"/>
        </w:rPr>
        <w:t>年</w:t>
      </w:r>
      <w:r>
        <w:rPr>
          <w:rFonts w:hint="eastAsia" w:ascii="CESI小标宋-GB2312" w:hAnsi="CESI小标宋-GB2312" w:eastAsia="CESI小标宋-GB2312" w:cs="CESI小标宋-GB2312"/>
          <w:b w:val="0"/>
          <w:bCs w:val="0"/>
          <w:color w:val="auto"/>
          <w:sz w:val="44"/>
          <w:szCs w:val="52"/>
          <w:highlight w:val="none"/>
          <w:shd w:val="clear" w:color="auto" w:fill="auto"/>
        </w:rPr>
        <w:t>在用锅炉隐患排查及风险辨识</w:t>
      </w:r>
      <w:r>
        <w:rPr>
          <w:rFonts w:hint="eastAsia" w:ascii="CESI小标宋-GB2312" w:hAnsi="CESI小标宋-GB2312" w:eastAsia="CESI小标宋-GB2312" w:cs="CESI小标宋-GB2312"/>
          <w:b w:val="0"/>
          <w:bCs/>
          <w:color w:val="auto"/>
          <w:kern w:val="0"/>
          <w:sz w:val="44"/>
          <w:szCs w:val="44"/>
          <w:highlight w:val="none"/>
          <w:shd w:val="clear" w:color="auto" w:fill="auto"/>
        </w:rPr>
        <w:t>工作方案</w:t>
      </w:r>
    </w:p>
    <w:bookmarkEnd w:id="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ascii="仿宋_GB2312" w:eastAsia="仿宋_GB2312"/>
          <w:color w:val="auto"/>
          <w:sz w:val="32"/>
          <w:szCs w:val="32"/>
          <w:highlight w:val="none"/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_GB2312" w:eastAsia="仿宋_GB2312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为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掌握我市在用锅炉的安全风险状况，规范锅炉使用管理行为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，提升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锅炉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安全管理水平，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落实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使用单位安全生产主体责任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预防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锅炉安全事故发生，根据《深圳经济特区特种设备安全条例》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等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规定，市市场监督管理局决定在全市范围内开展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在用锅炉隐患排查及风险辨识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下称“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风险辨识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”）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工作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，特制定本工作方案。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1"/>
        <w:rPr>
          <w:rFonts w:ascii="仿宋" w:hAnsi="仿宋" w:eastAsia="黑体"/>
          <w:bCs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ascii="仿宋" w:hAnsi="仿宋" w:eastAsia="黑体"/>
          <w:bCs/>
          <w:color w:val="auto"/>
          <w:sz w:val="32"/>
          <w:szCs w:val="32"/>
          <w:highlight w:val="none"/>
          <w:shd w:val="clear" w:color="auto" w:fill="auto"/>
        </w:rPr>
        <w:t xml:space="preserve">   一、</w:t>
      </w:r>
      <w:r>
        <w:rPr>
          <w:rFonts w:hint="eastAsia" w:ascii="仿宋" w:hAnsi="仿宋" w:eastAsia="黑体"/>
          <w:bCs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风险辨识</w:t>
      </w:r>
      <w:r>
        <w:rPr>
          <w:rFonts w:hint="eastAsia" w:ascii="仿宋" w:hAnsi="仿宋" w:eastAsia="黑体"/>
          <w:bCs/>
          <w:color w:val="auto"/>
          <w:sz w:val="32"/>
          <w:szCs w:val="32"/>
          <w:highlight w:val="none"/>
          <w:shd w:val="clear" w:color="auto" w:fill="auto"/>
        </w:rPr>
        <w:t>工作内容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auto"/>
        <w:rPr>
          <w:rFonts w:hint="eastAsia" w:ascii="仿宋" w:hAnsi="仿宋" w:eastAsia="楷体_GB2312" w:cs="Times New Roman"/>
          <w:b/>
          <w:color w:val="auto"/>
          <w:sz w:val="32"/>
          <w:szCs w:val="22"/>
          <w:highlight w:val="none"/>
          <w:shd w:val="clear" w:color="auto" w:fill="auto"/>
        </w:rPr>
      </w:pPr>
      <w:r>
        <w:rPr>
          <w:rFonts w:hint="eastAsia" w:ascii="仿宋" w:hAnsi="仿宋" w:eastAsia="楷体_GB2312" w:cs="Times New Roman"/>
          <w:b/>
          <w:color w:val="auto"/>
          <w:sz w:val="32"/>
          <w:szCs w:val="22"/>
          <w:highlight w:val="none"/>
          <w:shd w:val="clear" w:color="auto" w:fill="auto"/>
        </w:rPr>
        <w:t>（一）</w:t>
      </w:r>
      <w:r>
        <w:rPr>
          <w:rFonts w:hint="eastAsia" w:ascii="仿宋" w:hAnsi="仿宋" w:eastAsia="楷体_GB2312" w:cs="Times New Roman"/>
          <w:b/>
          <w:color w:val="auto"/>
          <w:sz w:val="32"/>
          <w:szCs w:val="22"/>
          <w:highlight w:val="none"/>
          <w:shd w:val="clear" w:color="auto" w:fill="auto"/>
          <w:lang w:val="en-US" w:eastAsia="zh-CN"/>
        </w:rPr>
        <w:t>风险辨识</w:t>
      </w:r>
      <w:r>
        <w:rPr>
          <w:rFonts w:hint="eastAsia" w:ascii="仿宋" w:hAnsi="仿宋" w:eastAsia="楷体_GB2312" w:cs="Times New Roman"/>
          <w:b/>
          <w:color w:val="auto"/>
          <w:sz w:val="32"/>
          <w:szCs w:val="22"/>
          <w:highlight w:val="none"/>
          <w:shd w:val="clear" w:color="auto" w:fill="auto"/>
        </w:rPr>
        <w:t>数量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计划对不少于725台在用锅炉开展风险辨识工作。其中，额定蒸发量D&lt;1t/h（或额定热功率Q&lt;0.7MW）的不少于140台，额定蒸发量D≥1t/h（或额定热功率Q≥0.7MW）的不少于540台，电站锅炉不少于45台。如全市在用额定蒸发量D&lt;1t/h（或额定热功率Q&lt;0.7MW）的锅炉数量不足140台的，其数量差额由在用额定蒸发量D≥1t/h（或额定热功率Q≥0.7MW）的锅炉补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auto"/>
        <w:rPr>
          <w:rFonts w:hint="eastAsia" w:ascii="仿宋" w:hAnsi="仿宋" w:eastAsia="楷体_GB2312" w:cs="Times New Roman"/>
          <w:b/>
          <w:color w:val="auto"/>
          <w:sz w:val="32"/>
          <w:szCs w:val="22"/>
          <w:highlight w:val="none"/>
          <w:shd w:val="clear" w:color="auto" w:fill="auto"/>
        </w:rPr>
      </w:pPr>
      <w:r>
        <w:rPr>
          <w:rFonts w:hint="eastAsia" w:ascii="仿宋" w:hAnsi="仿宋" w:eastAsia="楷体_GB2312" w:cs="Times New Roman"/>
          <w:b/>
          <w:color w:val="auto"/>
          <w:sz w:val="32"/>
          <w:szCs w:val="22"/>
          <w:highlight w:val="none"/>
          <w:shd w:val="clear" w:color="auto" w:fill="auto"/>
        </w:rPr>
        <w:t>（二）</w:t>
      </w:r>
      <w:r>
        <w:rPr>
          <w:rFonts w:hint="eastAsia" w:ascii="仿宋" w:hAnsi="仿宋" w:eastAsia="楷体_GB2312" w:cs="Times New Roman"/>
          <w:b/>
          <w:color w:val="auto"/>
          <w:sz w:val="32"/>
          <w:szCs w:val="22"/>
          <w:highlight w:val="none"/>
          <w:shd w:val="clear" w:color="auto" w:fill="auto"/>
          <w:lang w:val="en-US" w:eastAsia="zh-CN"/>
        </w:rPr>
        <w:t>风险辨识</w:t>
      </w:r>
      <w:r>
        <w:rPr>
          <w:rFonts w:hint="eastAsia" w:ascii="仿宋" w:hAnsi="仿宋" w:eastAsia="楷体_GB2312" w:cs="Times New Roman"/>
          <w:b/>
          <w:color w:val="auto"/>
          <w:sz w:val="32"/>
          <w:szCs w:val="22"/>
          <w:highlight w:val="none"/>
          <w:shd w:val="clear" w:color="auto" w:fill="auto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见《锅炉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使用单位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安全管理风险辨识表》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下称《管理辨识表》，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附件1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）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及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《锅炉使用安全状况风险辨识表》（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下称《使用辨识表》，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附件2）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auto"/>
        <w:rPr>
          <w:rFonts w:ascii="仿宋" w:hAnsi="仿宋" w:eastAsia="楷体_GB2312"/>
          <w:b/>
          <w:color w:val="auto"/>
          <w:sz w:val="32"/>
          <w:szCs w:val="22"/>
          <w:highlight w:val="none"/>
          <w:shd w:val="clear" w:color="auto" w:fill="auto"/>
        </w:rPr>
      </w:pPr>
      <w:r>
        <w:rPr>
          <w:rFonts w:hint="eastAsia" w:ascii="仿宋" w:hAnsi="仿宋" w:eastAsia="楷体_GB2312"/>
          <w:b/>
          <w:color w:val="auto"/>
          <w:sz w:val="32"/>
          <w:szCs w:val="22"/>
          <w:highlight w:val="none"/>
          <w:shd w:val="clear" w:color="auto" w:fill="auto"/>
        </w:rPr>
        <w:t>（三）</w:t>
      </w:r>
      <w:r>
        <w:rPr>
          <w:rFonts w:hint="eastAsia" w:ascii="仿宋" w:hAnsi="仿宋" w:eastAsia="楷体_GB2312" w:cs="Times New Roman"/>
          <w:b/>
          <w:color w:val="auto"/>
          <w:sz w:val="32"/>
          <w:szCs w:val="22"/>
          <w:highlight w:val="none"/>
          <w:shd w:val="clear" w:color="auto" w:fill="auto"/>
          <w:lang w:val="en-US" w:eastAsia="zh-CN"/>
        </w:rPr>
        <w:t>风险辨识结果</w:t>
      </w:r>
      <w:r>
        <w:rPr>
          <w:rFonts w:hint="eastAsia" w:ascii="仿宋" w:hAnsi="仿宋" w:eastAsia="楷体_GB2312"/>
          <w:b/>
          <w:color w:val="auto"/>
          <w:sz w:val="32"/>
          <w:szCs w:val="22"/>
          <w:highlight w:val="none"/>
          <w:shd w:val="clear" w:color="auto" w:fill="auto"/>
        </w:rPr>
        <w:t>判定规则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1.根据在用锅炉的参数，对照《锅炉事故后果等级分级表》（附件3），确定锅炉事故后果等级。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2.对照《管理辨识表》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、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《使用辨识表》对锅炉安全情况逐项进行风险辨识。根据《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锅炉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运行安全等级分级表》（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下称《运行安全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分级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表》，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附件4），确定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锅炉运行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安全等级。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3.根据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锅炉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事故后果等级和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运行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安全等级，对照《在用锅炉风险等级分级情况表》（附件5），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确定锅炉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对应的风险等级。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1"/>
        <w:rPr>
          <w:rFonts w:hint="default" w:ascii="仿宋" w:hAnsi="仿宋" w:eastAsia="黑体"/>
          <w:bCs/>
          <w:color w:val="auto"/>
          <w:sz w:val="32"/>
          <w:szCs w:val="32"/>
          <w:highlight w:val="none"/>
          <w:shd w:val="clear" w:color="auto" w:fill="auto"/>
          <w:lang w:val="en-US"/>
        </w:rPr>
      </w:pPr>
      <w:r>
        <w:rPr>
          <w:rFonts w:hint="eastAsia" w:ascii="仿宋" w:hAnsi="仿宋" w:eastAsia="黑体"/>
          <w:bCs/>
          <w:color w:val="auto"/>
          <w:sz w:val="32"/>
          <w:szCs w:val="32"/>
          <w:highlight w:val="none"/>
          <w:shd w:val="clear" w:color="auto" w:fill="auto"/>
        </w:rPr>
        <w:t>二、</w:t>
      </w:r>
      <w:r>
        <w:rPr>
          <w:rFonts w:hint="eastAsia" w:ascii="仿宋" w:hAnsi="仿宋" w:eastAsia="黑体"/>
          <w:bCs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风险辨识范围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全市（含深汕特别合作区）已办理注册登记的在用锅炉（含按锅炉办理使用登记的电加热蒸汽发生器）。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rFonts w:hint="default" w:ascii="仿宋" w:hAnsi="仿宋" w:eastAsia="黑体" w:cs="Times New Roman"/>
          <w:bCs/>
          <w:color w:val="auto"/>
          <w:sz w:val="32"/>
          <w:szCs w:val="32"/>
          <w:highlight w:val="none"/>
          <w:shd w:val="clear" w:color="auto" w:fill="auto"/>
          <w:lang w:val="en-US"/>
        </w:rPr>
      </w:pPr>
      <w:r>
        <w:rPr>
          <w:rFonts w:hint="eastAsia" w:ascii="仿宋" w:hAnsi="仿宋" w:eastAsia="黑体" w:cs="Times New Roman"/>
          <w:bCs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风险辨识</w:t>
      </w:r>
      <w:r>
        <w:rPr>
          <w:rFonts w:hint="eastAsia" w:ascii="仿宋" w:hAnsi="仿宋" w:eastAsia="黑体" w:cs="Times New Roman"/>
          <w:bCs/>
          <w:color w:val="auto"/>
          <w:sz w:val="32"/>
          <w:szCs w:val="32"/>
          <w:highlight w:val="none"/>
          <w:shd w:val="clear" w:color="auto" w:fill="auto"/>
        </w:rPr>
        <w:t>现场</w:t>
      </w:r>
      <w:r>
        <w:rPr>
          <w:rFonts w:hint="eastAsia" w:ascii="仿宋" w:hAnsi="仿宋" w:eastAsia="黑体" w:cs="Times New Roman"/>
          <w:bCs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auto"/>
        <w:rPr>
          <w:rFonts w:ascii="仿宋" w:hAnsi="仿宋" w:eastAsia="楷体_GB2312"/>
          <w:b/>
          <w:color w:val="auto"/>
          <w:sz w:val="32"/>
          <w:szCs w:val="22"/>
          <w:highlight w:val="none"/>
          <w:shd w:val="clear" w:color="auto" w:fill="auto"/>
        </w:rPr>
      </w:pPr>
      <w:r>
        <w:rPr>
          <w:rFonts w:hint="eastAsia" w:ascii="仿宋" w:hAnsi="仿宋" w:eastAsia="楷体_GB2312"/>
          <w:b/>
          <w:color w:val="auto"/>
          <w:sz w:val="32"/>
          <w:szCs w:val="22"/>
          <w:highlight w:val="none"/>
          <w:shd w:val="clear" w:color="auto" w:fill="auto"/>
        </w:rPr>
        <w:t>（一）任务告知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拟实施风险辨识工作时，风险辨识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机构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下称“评价机构”）应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至少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提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前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二天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通知锅炉使用单位安排专人配合接受风险辨识工作，</w:t>
      </w:r>
      <w:bookmarkStart w:id="0" w:name="_Hlk131359103"/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准备锅炉使用相关资料，包括：管理制度、作业人员、维保记录、应急预案、培训记录、档案管理、隐患治理等方面的资料</w:t>
      </w:r>
      <w:bookmarkEnd w:id="0"/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楷体_GB2312" w:eastAsia="楷体_GB2312"/>
          <w:b/>
          <w:color w:val="auto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楷体_GB2312" w:eastAsia="楷体_GB2312"/>
          <w:b/>
          <w:color w:val="auto"/>
          <w:sz w:val="32"/>
          <w:szCs w:val="32"/>
          <w:highlight w:val="none"/>
          <w:shd w:val="clear" w:color="auto" w:fill="auto"/>
        </w:rPr>
        <w:t>（二）现场</w:t>
      </w:r>
      <w:r>
        <w:rPr>
          <w:rFonts w:hint="eastAsia" w:ascii="楷体_GB2312" w:eastAsia="楷体_GB2312"/>
          <w:b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风险辨识工作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1.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评价机构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实施现场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风险辨识工作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时，应有使用单位负责特种设备安全管理的人员进行陪同。必要时，辖区局可对工作现场进行监督并协调解决工作中存在的困难或问题。使用单位拒绝接受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风险辨识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工作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，或不当场申诉但又拒绝签字《管理辨识表》或《使用辨识表》的，由评价机构联系辖区局到场协调解决，辖区局协调无果的，及时报送市局特设处。使用单位无正当理由仍拒绝配合的，由辖区局依据《中华人民共和国特种设备安全法》第九十五条规定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_GB2312" w:eastAsia="仿宋_GB2312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2.使用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单位应落实现场安全防护，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风险辨识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人员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下称“评价人员”）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应严格按照规定项目和要求开展现场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风险辨识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工作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。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现场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工作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结束后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评价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人员应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将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评价的基本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情况告知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使用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单位，要求其在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《管理辨识表》及《使用辨识表》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签字确认。如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使用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单位提出异议，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评价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人员应予以解答。经解答双方尚不能达成一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致的，由辖区局到场协调解决。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1"/>
        <w:rPr>
          <w:rFonts w:ascii="仿宋" w:hAnsi="仿宋" w:eastAsia="黑体"/>
          <w:bCs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ascii="仿宋" w:hAnsi="仿宋" w:eastAsia="黑体"/>
          <w:bCs/>
          <w:color w:val="auto"/>
          <w:sz w:val="32"/>
          <w:szCs w:val="32"/>
          <w:highlight w:val="none"/>
          <w:shd w:val="clear" w:color="auto" w:fill="auto"/>
        </w:rPr>
        <w:t>四、</w:t>
      </w:r>
      <w:r>
        <w:rPr>
          <w:rFonts w:hint="eastAsia" w:ascii="仿宋" w:hAnsi="仿宋" w:eastAsia="黑体"/>
          <w:bCs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风险辨识</w:t>
      </w:r>
      <w:r>
        <w:rPr>
          <w:rFonts w:hint="eastAsia" w:ascii="仿宋" w:hAnsi="仿宋" w:eastAsia="黑体"/>
          <w:bCs/>
          <w:color w:val="auto"/>
          <w:sz w:val="32"/>
          <w:szCs w:val="32"/>
          <w:highlight w:val="none"/>
          <w:shd w:val="clear" w:color="auto" w:fill="auto"/>
        </w:rPr>
        <w:t>后处理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auto"/>
        <w:rPr>
          <w:rFonts w:ascii="仿宋" w:hAnsi="仿宋" w:eastAsia="楷体_GB2312"/>
          <w:b/>
          <w:color w:val="auto"/>
          <w:sz w:val="32"/>
          <w:szCs w:val="22"/>
          <w:highlight w:val="none"/>
          <w:shd w:val="clear" w:color="auto" w:fill="auto"/>
        </w:rPr>
      </w:pPr>
      <w:r>
        <w:rPr>
          <w:rFonts w:hint="eastAsia" w:ascii="仿宋" w:hAnsi="仿宋" w:eastAsia="楷体_GB2312"/>
          <w:b/>
          <w:color w:val="auto"/>
          <w:sz w:val="32"/>
          <w:szCs w:val="22"/>
          <w:highlight w:val="none"/>
          <w:shd w:val="clear" w:color="auto" w:fill="auto"/>
        </w:rPr>
        <w:t>（一）隐患和问题报送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1.评价机构发现锅炉存在严重事故隐患</w:t>
      </w:r>
      <w:r>
        <w:rPr>
          <w:rFonts w:hint="eastAsia" w:ascii="仿宋_GB2312" w:eastAsia="仿宋_GB2312"/>
          <w:color w:val="auto"/>
          <w:sz w:val="32"/>
          <w:szCs w:val="32"/>
        </w:rPr>
        <w:t>或重大问题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（严重事故隐患和重大问题分类见附件4《运行安全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分级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表》和附件6《特种设备重大问题报告单》）</w:t>
      </w:r>
      <w:r>
        <w:rPr>
          <w:rFonts w:hint="eastAsia" w:ascii="仿宋_GB2312" w:eastAsia="仿宋_GB2312"/>
          <w:color w:val="auto"/>
          <w:sz w:val="32"/>
          <w:szCs w:val="32"/>
        </w:rPr>
        <w:t>的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，应填写《特种设备重大问题报告单》（下称《报告单》），在24小时内与相关证据一并报送辖区局。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2.情况危急、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可能发生人身伤害危险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的，评价人员应立即向辖区局报告有关情况，并整理好相关证据材料，在现场等待辖区局特种设备安全监察人员。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/>
          <w:color w:val="auto"/>
          <w:lang w:val="en-US"/>
        </w:rPr>
      </w:pP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3.除上述第1、2点的情况外，使用单位存在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highlight w:val="none"/>
          <w:shd w:val="clear" w:color="auto" w:fill="auto"/>
          <w:lang w:eastAsia="zh-CN"/>
        </w:rPr>
        <w:t>安全管理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措施未能有效落实情况（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highlight w:val="none"/>
          <w:shd w:val="clear" w:color="auto" w:fill="auto"/>
          <w:lang w:eastAsia="zh-CN"/>
        </w:rPr>
        <w:t>安全管理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措施未能有效落实情况分类见附件4《运行安全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分级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表》）的，应填写《报告单》，在72小时内报送辖区局。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auto"/>
        <w:rPr>
          <w:rFonts w:ascii="仿宋" w:hAnsi="仿宋" w:eastAsia="楷体_GB2312"/>
          <w:b/>
          <w:color w:val="auto"/>
          <w:sz w:val="32"/>
          <w:szCs w:val="22"/>
          <w:highlight w:val="none"/>
          <w:shd w:val="clear" w:color="auto" w:fill="auto"/>
        </w:rPr>
      </w:pPr>
      <w:r>
        <w:rPr>
          <w:rFonts w:hint="eastAsia" w:ascii="仿宋" w:hAnsi="仿宋" w:eastAsia="楷体_GB2312"/>
          <w:b/>
          <w:color w:val="auto"/>
          <w:sz w:val="32"/>
          <w:szCs w:val="22"/>
          <w:highlight w:val="none"/>
          <w:shd w:val="clear" w:color="auto" w:fill="auto"/>
        </w:rPr>
        <w:t>（二）隐患处置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1.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对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存在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严重事故隐患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（或重大问题）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且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情况危急、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可能发生人身伤害危险的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锅炉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，辖区局接到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评价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shd w:val="clear" w:color="auto" w:fill="auto"/>
        </w:rPr>
        <w:t>人员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shd w:val="clear" w:color="auto" w:fill="auto"/>
          <w:lang w:val="en-US" w:eastAsia="zh-CN"/>
        </w:rPr>
        <w:t>紧急报告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后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应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立即前往处置，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在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当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日予以封停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2.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对存在其它严重事故隐患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（或重大问题）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的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锅炉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，辖区局接到《报告单》后应在5个工作日内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不含当日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）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进行检查，视情况依法实施查封。同时应下达特种设备安全监察指令责令限期改正，责令整改期限原则上不超过15天。</w:t>
      </w:r>
    </w:p>
    <w:p>
      <w:pPr>
        <w:pStyle w:val="3"/>
        <w:ind w:firstLine="640" w:firstLineChars="200"/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3.对存在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highlight w:val="none"/>
          <w:shd w:val="clear" w:color="auto" w:fill="auto"/>
          <w:lang w:eastAsia="zh-CN"/>
        </w:rPr>
        <w:t>安全管理</w:t>
      </w: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highlight w:val="none"/>
          <w:shd w:val="clear" w:color="auto" w:fill="auto"/>
        </w:rPr>
        <w:t>措施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未能有效落实的使用单位，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辖区局接到《报告单》后应在5个工作日内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不含当日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）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进行检查，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督促使用单位进行整改。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_GB2312" w:eastAsia="仿宋_GB2312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4.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经封停或查封的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锅炉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可凭整改申请由辖区局决定解封必要部位进行整改，但不得投入正常使用。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ascii="仿宋" w:hAnsi="仿宋" w:eastAsia="楷体_GB2312"/>
          <w:b/>
          <w:color w:val="auto"/>
          <w:sz w:val="32"/>
          <w:szCs w:val="22"/>
          <w:highlight w:val="none"/>
          <w:shd w:val="clear" w:color="auto" w:fill="auto"/>
        </w:rPr>
      </w:pPr>
      <w:r>
        <w:rPr>
          <w:rFonts w:hint="eastAsia" w:ascii="仿宋" w:hAnsi="仿宋" w:eastAsia="楷体_GB2312"/>
          <w:b/>
          <w:color w:val="auto"/>
          <w:sz w:val="32"/>
          <w:szCs w:val="22"/>
          <w:highlight w:val="none"/>
          <w:shd w:val="clear" w:color="auto" w:fill="auto"/>
        </w:rPr>
        <w:t>（</w:t>
      </w:r>
      <w:r>
        <w:rPr>
          <w:rFonts w:hint="eastAsia" w:ascii="仿宋" w:hAnsi="仿宋" w:eastAsia="楷体_GB2312"/>
          <w:b/>
          <w:color w:val="auto"/>
          <w:sz w:val="32"/>
          <w:szCs w:val="22"/>
          <w:highlight w:val="none"/>
          <w:shd w:val="clear" w:color="auto" w:fill="auto"/>
          <w:lang w:val="en-US" w:eastAsia="zh-CN"/>
        </w:rPr>
        <w:t>三</w:t>
      </w:r>
      <w:r>
        <w:rPr>
          <w:rFonts w:hint="eastAsia" w:ascii="仿宋" w:hAnsi="仿宋" w:eastAsia="楷体_GB2312"/>
          <w:b/>
          <w:color w:val="auto"/>
          <w:sz w:val="32"/>
          <w:szCs w:val="22"/>
          <w:highlight w:val="none"/>
          <w:shd w:val="clear" w:color="auto" w:fill="auto"/>
        </w:rPr>
        <w:t>）违法行为查处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1.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对发现的违法违规行为，根据相关法律法规应立案查处的，由相关辖区局予以立案查处。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2.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对继续使用经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风险辨识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发现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锅炉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存在严重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事故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隐患</w:t>
      </w:r>
      <w:r>
        <w:rPr>
          <w:rFonts w:hint="eastAsia" w:ascii="仿宋_GB2312" w:eastAsia="仿宋_GB2312"/>
          <w:color w:val="auto"/>
          <w:sz w:val="32"/>
          <w:szCs w:val="32"/>
        </w:rPr>
        <w:t>或重大问题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应停止运行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的使用单位，由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锅炉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安装地辖区局根据《中华人民共和国特种设备安全法》第八十四条予以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查处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3.对存在安全管理措施未能有效落实的使用单位，由相关辖区局依据《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中华人民共和国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特种设备安全法》第八十三条、八十六条，《深圳经济特区特种设备安全条例》第六十七、七十七条等规定予以查处。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仿宋" w:hAnsi="仿宋" w:eastAsia="楷体_GB2312"/>
          <w:b/>
          <w:color w:val="auto"/>
          <w:sz w:val="32"/>
          <w:szCs w:val="22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楷体_GB2312"/>
          <w:b/>
          <w:color w:val="auto"/>
          <w:sz w:val="32"/>
          <w:szCs w:val="22"/>
          <w:highlight w:val="none"/>
          <w:shd w:val="clear" w:color="auto" w:fill="auto"/>
          <w:lang w:val="en-US" w:eastAsia="zh-CN"/>
        </w:rPr>
        <w:t>（四）报告出具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楷体_GB2312"/>
          <w:b/>
          <w:color w:val="auto"/>
          <w:sz w:val="32"/>
          <w:szCs w:val="22"/>
          <w:highlight w:val="yellow"/>
          <w:shd w:val="clear" w:color="auto" w:fill="auto"/>
        </w:rPr>
      </w:pP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评价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机构应在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风险辨识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工作结束后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5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个工作日内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不含当日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），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出具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《锅炉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运行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安全风险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评价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报告》（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下称《评价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报告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》，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附件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7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）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；并在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《评价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报告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》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出具后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5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个工作日内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不含当日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），将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《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评价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报告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》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报送辖区局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auto"/>
        <w:rPr>
          <w:rFonts w:ascii="仿宋" w:hAnsi="仿宋" w:eastAsia="楷体_GB2312"/>
          <w:b/>
          <w:color w:val="auto"/>
          <w:sz w:val="32"/>
          <w:szCs w:val="22"/>
          <w:highlight w:val="none"/>
          <w:shd w:val="clear" w:color="auto" w:fill="auto"/>
        </w:rPr>
      </w:pPr>
      <w:r>
        <w:rPr>
          <w:rFonts w:hint="eastAsia" w:ascii="仿宋" w:hAnsi="仿宋" w:eastAsia="楷体_GB2312"/>
          <w:b/>
          <w:color w:val="auto"/>
          <w:sz w:val="32"/>
          <w:szCs w:val="22"/>
          <w:highlight w:val="none"/>
          <w:shd w:val="clear" w:color="auto" w:fill="auto"/>
        </w:rPr>
        <w:t>（</w:t>
      </w:r>
      <w:r>
        <w:rPr>
          <w:rFonts w:hint="eastAsia" w:ascii="仿宋" w:hAnsi="仿宋" w:eastAsia="楷体_GB2312"/>
          <w:b/>
          <w:color w:val="auto"/>
          <w:sz w:val="32"/>
          <w:szCs w:val="22"/>
          <w:highlight w:val="none"/>
          <w:shd w:val="clear" w:color="auto" w:fill="auto"/>
          <w:lang w:val="en-US" w:eastAsia="zh-CN"/>
        </w:rPr>
        <w:t>五</w:t>
      </w:r>
      <w:r>
        <w:rPr>
          <w:rFonts w:hint="eastAsia" w:ascii="仿宋" w:hAnsi="仿宋" w:eastAsia="楷体_GB2312"/>
          <w:b/>
          <w:color w:val="auto"/>
          <w:sz w:val="32"/>
          <w:szCs w:val="22"/>
          <w:highlight w:val="none"/>
          <w:shd w:val="clear" w:color="auto" w:fill="auto"/>
        </w:rPr>
        <w:t>）总结报送和结果公告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1.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评价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机构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依进度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完成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相应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阶段工作后，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应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开展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相关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数据整理及分析，编制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《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在用锅炉安全风险辨识汇总表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》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下称《汇总表》，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附件8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），按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要求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报送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市局特设处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2.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评价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机构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在完成全部在用锅炉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风险辨识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工作后，汇总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《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汇总表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》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进行数据整理，对本次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风险辨识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项目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发现的主要共性安全管理问题进行总结分析，并给出监管建议，进行《在用锅炉风险辨识总结报告》（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下称《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总结报告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》，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附件10）的编制。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3.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评价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机构应在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2023年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1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30日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前完成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风险辨识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工作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并将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《总结报告》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报送市局特设处。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_GB2312" w:eastAsia="仿宋_GB2312"/>
          <w:color w:val="auto"/>
          <w:sz w:val="32"/>
          <w:szCs w:val="32"/>
          <w:highlight w:val="yellow"/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96" w:leftChars="303" w:hanging="1460"/>
        <w:textAlignment w:val="auto"/>
        <w:rPr>
          <w:rFonts w:ascii="仿宋_GB2312" w:eastAsia="仿宋_GB2312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附件:1.《锅炉使用单位安全管理风险辨识表》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440" w:firstLineChars="450"/>
        <w:textAlignment w:val="auto"/>
        <w:rPr>
          <w:rFonts w:ascii="仿宋_GB2312" w:eastAsia="仿宋_GB2312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仿宋_GB2312" w:eastAsia="仿宋_GB2312"/>
          <w:color w:val="auto"/>
          <w:sz w:val="32"/>
          <w:szCs w:val="32"/>
          <w:highlight w:val="none"/>
          <w:shd w:val="clear" w:color="auto" w:fill="auto"/>
          <w:lang w:val="en"/>
        </w:rPr>
        <w:t>2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.《锅炉使用安全状况风险辨识表》</w:t>
      </w:r>
      <w:r>
        <w:rPr>
          <w:rFonts w:ascii="仿宋_GB2312" w:eastAsia="仿宋_GB2312"/>
          <w:color w:val="auto"/>
          <w:sz w:val="32"/>
          <w:szCs w:val="32"/>
          <w:highlight w:val="none"/>
          <w:shd w:val="clear" w:color="auto" w:fill="auto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440" w:firstLineChars="450"/>
        <w:textAlignment w:val="auto"/>
        <w:rPr>
          <w:rFonts w:ascii="仿宋_GB2312" w:eastAsia="仿宋_GB2312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仿宋_GB2312" w:eastAsia="仿宋_GB2312"/>
          <w:color w:val="auto"/>
          <w:sz w:val="32"/>
          <w:szCs w:val="32"/>
          <w:highlight w:val="none"/>
          <w:shd w:val="clear" w:color="auto" w:fill="auto"/>
          <w:lang w:val="en"/>
        </w:rPr>
        <w:t>3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.《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锅炉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事故后果等级分级表》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440" w:firstLineChars="450"/>
        <w:textAlignment w:val="auto"/>
        <w:rPr>
          <w:rFonts w:ascii="仿宋_GB2312" w:eastAsia="仿宋_GB2312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仿宋_GB2312" w:eastAsia="仿宋_GB2312"/>
          <w:color w:val="auto"/>
          <w:sz w:val="32"/>
          <w:szCs w:val="32"/>
          <w:highlight w:val="none"/>
          <w:shd w:val="clear" w:color="auto" w:fill="auto"/>
          <w:lang w:val="en"/>
        </w:rPr>
        <w:t>4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.《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锅炉运行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安全等级分级表》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87" w:leftChars="700" w:hanging="617" w:hangingChars="193"/>
        <w:textAlignment w:val="auto"/>
        <w:rPr>
          <w:rFonts w:ascii="仿宋_GB2312" w:eastAsia="仿宋_GB2312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仿宋_GB2312" w:eastAsia="仿宋_GB2312"/>
          <w:color w:val="auto"/>
          <w:sz w:val="32"/>
          <w:szCs w:val="32"/>
          <w:highlight w:val="none"/>
          <w:shd w:val="clear" w:color="auto" w:fill="auto"/>
          <w:lang w:val="en"/>
        </w:rPr>
        <w:t>5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.《在用锅炉设备风险等级分级情况表》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96" w:leftChars="703" w:hanging="620" w:hangingChars="194"/>
        <w:textAlignment w:val="auto"/>
        <w:rPr>
          <w:color w:val="auto"/>
          <w:highlight w:val="none"/>
          <w:shd w:val="clear" w:color="auto" w:fill="auto"/>
        </w:rPr>
      </w:pPr>
      <w:r>
        <w:rPr>
          <w:rFonts w:hint="default" w:ascii="仿宋_GB2312" w:eastAsia="仿宋_GB2312"/>
          <w:color w:val="auto"/>
          <w:sz w:val="32"/>
          <w:szCs w:val="32"/>
          <w:highlight w:val="none"/>
          <w:shd w:val="clear" w:color="auto" w:fill="auto"/>
          <w:lang w:val="en"/>
        </w:rPr>
        <w:t>6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.《</w:t>
      </w:r>
      <w:r>
        <w:rPr>
          <w:rFonts w:ascii="仿宋_GB2312" w:eastAsia="仿宋_GB2312"/>
          <w:color w:val="auto"/>
          <w:sz w:val="32"/>
          <w:szCs w:val="32"/>
          <w:highlight w:val="none"/>
          <w:shd w:val="clear" w:color="auto" w:fill="auto"/>
        </w:rPr>
        <w:t>特种设备重大问题报告单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440" w:firstLineChars="450"/>
        <w:textAlignment w:val="auto"/>
        <w:rPr>
          <w:rFonts w:ascii="仿宋_GB2312" w:eastAsia="仿宋_GB2312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7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.《锅炉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运行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安全风险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评价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报告》</w:t>
      </w:r>
    </w:p>
    <w:p>
      <w:pPr>
        <w:spacing w:line="600" w:lineRule="exact"/>
        <w:jc w:val="left"/>
        <w:outlineLvl w:val="0"/>
        <w:rPr>
          <w:rFonts w:hint="default" w:ascii="仿宋_GB2312" w:hAnsi="仿宋_GB2312" w:eastAsia="仿宋_GB2312" w:cs="仿宋_GB2312"/>
          <w:bCs/>
          <w:color w:val="auto"/>
          <w:kern w:val="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highlight w:val="none"/>
          <w:shd w:val="clear" w:color="auto" w:fill="auto"/>
          <w:lang w:val="en-US" w:eastAsia="zh-CN"/>
        </w:rPr>
        <w:t xml:space="preserve">    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 xml:space="preserve">  8.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"/>
        </w:rPr>
        <w:t>《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在用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"/>
        </w:rPr>
        <w:t>锅炉安全风险辨识汇总表》</w:t>
      </w:r>
    </w:p>
    <w:p>
      <w:pPr>
        <w:spacing w:line="600" w:lineRule="exact"/>
        <w:jc w:val="left"/>
        <w:outlineLvl w:val="0"/>
        <w:rPr>
          <w:rFonts w:hint="eastAsia" w:ascii="仿宋_GB2312" w:hAnsi="仿宋_GB2312" w:eastAsia="仿宋_GB2312" w:cs="仿宋_GB2312"/>
          <w:bCs/>
          <w:strike w:val="0"/>
          <w:color w:val="FF0000"/>
          <w:kern w:val="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highlight w:val="none"/>
          <w:shd w:val="clear" w:color="auto" w:fill="auto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Cs/>
          <w:strike w:val="0"/>
          <w:color w:val="auto"/>
          <w:kern w:val="0"/>
          <w:sz w:val="32"/>
          <w:szCs w:val="32"/>
          <w:highlight w:val="none"/>
          <w:shd w:val="clear" w:color="auto" w:fill="auto"/>
          <w:lang w:val="en-US" w:eastAsia="zh-CN"/>
        </w:rPr>
        <w:t xml:space="preserve"> 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 xml:space="preserve"> 9.《锅炉运行安全风险评价结果记录》</w:t>
      </w:r>
    </w:p>
    <w:p>
      <w:pPr>
        <w:spacing w:line="600" w:lineRule="exact"/>
        <w:ind w:firstLine="1280" w:firstLineChars="400"/>
        <w:jc w:val="left"/>
        <w:outlineLvl w:val="0"/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highlight w:val="none"/>
          <w:shd w:val="clear" w:color="auto" w:fill="auto"/>
          <w:lang w:val="en-US" w:eastAsia="zh-CN"/>
        </w:rPr>
        <w:t>10.《在用锅炉风险辨识总结报告》</w:t>
      </w:r>
    </w:p>
    <w:p>
      <w:pPr>
        <w:spacing w:line="560" w:lineRule="exact"/>
        <w:ind w:left="1883" w:leftChars="703" w:hanging="407" w:hangingChars="194"/>
        <w:jc w:val="left"/>
        <w:outlineLvl w:val="9"/>
      </w:pPr>
    </w:p>
    <w:sectPr>
      <w:pgSz w:w="11906" w:h="16838"/>
      <w:pgMar w:top="1587" w:right="1474" w:bottom="158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ESI小标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6F21D7"/>
    <w:multiLevelType w:val="multilevel"/>
    <w:tmpl w:val="656F21D7"/>
    <w:lvl w:ilvl="0" w:tentative="0">
      <w:start w:val="3"/>
      <w:numFmt w:val="japaneseCounting"/>
      <w:lvlText w:val="%1、"/>
      <w:lvlJc w:val="left"/>
      <w:pPr>
        <w:ind w:left="1429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7F20F98"/>
    <w:rsid w:val="5FFD9DA7"/>
    <w:rsid w:val="7FAAB57D"/>
    <w:rsid w:val="7FF6826C"/>
    <w:rsid w:val="E7F20F98"/>
    <w:rsid w:val="FBEF2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basedOn w:val="1"/>
    <w:next w:val="1"/>
    <w:qFormat/>
    <w:uiPriority w:val="0"/>
    <w:pPr>
      <w:spacing w:line="560" w:lineRule="exact"/>
      <w:outlineLvl w:val="1"/>
    </w:pPr>
    <w:rPr>
      <w:rFonts w:ascii="仿宋" w:hAnsi="仿宋" w:eastAsia="黑体"/>
      <w:bCs/>
      <w:color w:val="000000"/>
      <w:sz w:val="32"/>
      <w:szCs w:val="32"/>
    </w:rPr>
  </w:style>
  <w:style w:type="paragraph" w:styleId="3">
    <w:name w:val="Body Text 2"/>
    <w:basedOn w:val="1"/>
    <w:qFormat/>
    <w:uiPriority w:val="0"/>
    <w:pPr>
      <w:spacing w:line="360" w:lineRule="auto"/>
    </w:pPr>
    <w:rPr>
      <w:sz w:val="24"/>
    </w:rPr>
  </w:style>
  <w:style w:type="paragraph" w:customStyle="1" w:styleId="6">
    <w:name w:val="公文正文"/>
    <w:basedOn w:val="1"/>
    <w:qFormat/>
    <w:uiPriority w:val="0"/>
    <w:pPr>
      <w:ind w:firstLine="640"/>
    </w:pPr>
    <w:rPr>
      <w:rFonts w:ascii="仿宋_GB2312"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2023-07-13T11:54:00Z</dcterms:created>
  <dc:creator>gaowt</dc:creator>
  <cp:lastModifiedBy>gaowt</cp:lastModifiedBy>
  <dcterms:modified xsi:type="dcterms:W3CDTF">2023-07-13T12:06:00Z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CA9A02323376F1E32878AF64F199A02C</vt:lpwstr>
  </property>
</Properties>
</file>