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kinsoku/>
        <w:overflowPunct/>
        <w:topLinePunct w:val="0"/>
        <w:autoSpaceDE/>
        <w:autoSpaceDN/>
        <w:bidi w:val="0"/>
        <w:adjustRightInd/>
        <w:snapToGrid/>
        <w:spacing w:before="156" w:beforeLines="50" w:after="156" w:afterLines="50" w:line="560" w:lineRule="exact"/>
        <w:jc w:val="center"/>
        <w:textAlignment w:val="auto"/>
        <w:rPr>
          <w:rFonts w:ascii="方正小标宋_GBK" w:hAnsi="宋体" w:eastAsia="方正小标宋_GBK" w:cs="Times New Roman"/>
          <w:color w:val="000000"/>
          <w:spacing w:val="6"/>
          <w:kern w:val="0"/>
          <w:sz w:val="36"/>
          <w:szCs w:val="36"/>
          <w:lang w:val="en-GB"/>
        </w:rPr>
      </w:pPr>
      <w:bookmarkStart w:id="2" w:name="_GoBack"/>
      <w:bookmarkEnd w:id="2"/>
      <w:r>
        <w:rPr>
          <w:rFonts w:ascii="方正小标宋_GBK" w:hAnsi="宋体" w:eastAsia="方正小标宋_GBK" w:cs="Times New Roman"/>
          <w:color w:val="000000"/>
          <w:spacing w:val="6"/>
          <w:kern w:val="0"/>
          <w:sz w:val="36"/>
          <w:szCs w:val="36"/>
          <w:lang w:val="en-GB"/>
        </w:rPr>
        <w:t>专利侵权纠纷案件</w:t>
      </w:r>
      <w:r>
        <w:rPr>
          <w:rFonts w:hint="eastAsia" w:ascii="方正小标宋_GBK" w:hAnsi="宋体" w:eastAsia="方正小标宋_GBK" w:cs="Times New Roman"/>
          <w:color w:val="000000"/>
          <w:spacing w:val="6"/>
          <w:kern w:val="0"/>
          <w:sz w:val="36"/>
          <w:szCs w:val="36"/>
          <w:lang w:val="en-GB"/>
        </w:rPr>
        <w:t>行政裁决</w:t>
      </w:r>
      <w:r>
        <w:rPr>
          <w:rFonts w:ascii="方正小标宋_GBK" w:hAnsi="宋体" w:eastAsia="方正小标宋_GBK" w:cs="Times New Roman"/>
          <w:color w:val="000000"/>
          <w:spacing w:val="6"/>
          <w:kern w:val="0"/>
          <w:sz w:val="36"/>
          <w:szCs w:val="36"/>
          <w:lang w:val="en-GB"/>
        </w:rPr>
        <w:t>书</w:t>
      </w:r>
    </w:p>
    <w:p>
      <w:pPr>
        <w:widowControl w:val="0"/>
        <w:spacing w:line="336" w:lineRule="auto"/>
        <w:jc w:val="right"/>
        <w:rPr>
          <w:rFonts w:hint="eastAsia" w:ascii="仿宋" w:hAnsi="仿宋" w:eastAsia="仿宋_GB2312" w:cs="Times New Roman"/>
          <w:color w:val="000000"/>
          <w:kern w:val="0"/>
          <w:sz w:val="21"/>
          <w:szCs w:val="21"/>
          <w:lang w:val="en-GB" w:eastAsia="en-US"/>
        </w:rPr>
      </w:pPr>
      <w:r>
        <w:rPr>
          <w:rFonts w:hint="eastAsia" w:ascii="仿宋" w:hAnsi="仿宋" w:eastAsia="仿宋_GB2312" w:cs="Times New Roman"/>
          <w:color w:val="000000"/>
          <w:kern w:val="0"/>
          <w:sz w:val="21"/>
          <w:szCs w:val="21"/>
          <w:lang w:val="en-GB" w:eastAsia="en-US"/>
        </w:rPr>
        <w:t>案号：</w:t>
      </w:r>
      <w:r>
        <w:rPr>
          <w:rFonts w:hint="eastAsia" w:ascii="仿宋" w:hAnsi="仿宋" w:eastAsia="仿宋_GB2312" w:cs="Times New Roman"/>
          <w:color w:val="000000"/>
          <w:kern w:val="0"/>
          <w:sz w:val="21"/>
          <w:szCs w:val="21"/>
          <w:lang w:val="en-GB" w:eastAsia="zh-CN"/>
        </w:rPr>
        <w:t>粤深知法裁字【2023】光明00</w:t>
      </w:r>
      <w:r>
        <w:rPr>
          <w:rFonts w:hint="eastAsia" w:ascii="仿宋" w:hAnsi="仿宋" w:eastAsia="仿宋_GB2312" w:cs="Times New Roman"/>
          <w:color w:val="000000"/>
          <w:kern w:val="0"/>
          <w:sz w:val="21"/>
          <w:szCs w:val="21"/>
          <w:lang w:val="en-US" w:eastAsia="zh-CN"/>
        </w:rPr>
        <w:t>5</w:t>
      </w:r>
      <w:r>
        <w:rPr>
          <w:rFonts w:hint="eastAsia" w:ascii="仿宋" w:hAnsi="仿宋" w:eastAsia="仿宋_GB2312" w:cs="Times New Roman"/>
          <w:color w:val="000000"/>
          <w:kern w:val="0"/>
          <w:sz w:val="21"/>
          <w:szCs w:val="21"/>
          <w:lang w:val="en-GB" w:eastAsia="zh-CN"/>
        </w:rPr>
        <w:t>号</w:t>
      </w:r>
    </w:p>
    <w:p>
      <w:pPr>
        <w:keepNext w:val="0"/>
        <w:keepLines w:val="0"/>
        <w:pageBreakBefore w:val="0"/>
        <w:widowControl/>
        <w:kinsoku/>
        <w:overflowPunct/>
        <w:topLinePunct w:val="0"/>
        <w:autoSpaceDE/>
        <w:autoSpaceDN/>
        <w:bidi w:val="0"/>
        <w:adjustRightInd/>
        <w:snapToGrid/>
        <w:spacing w:line="560" w:lineRule="exact"/>
        <w:ind w:firstLine="420" w:firstLineChars="200"/>
        <w:jc w:val="left"/>
        <w:textAlignment w:val="auto"/>
        <w:rPr>
          <w:rFonts w:hint="eastAsia" w:ascii="仿宋_GB2312" w:hAnsi="宋体" w:eastAsia="仿宋_GB2312" w:cs="Microsoft JhengHei"/>
          <w:color w:val="000000"/>
          <w:kern w:val="0"/>
          <w:sz w:val="21"/>
          <w:szCs w:val="21"/>
          <w:lang w:val="en-GB" w:eastAsia="zh-CN" w:bidi="ar-SA"/>
        </w:rPr>
      </w:pPr>
      <w:r>
        <w:rPr>
          <w:rFonts w:hint="eastAsia" w:ascii="仿宋_GB2312" w:hAnsi="宋体" w:eastAsia="仿宋_GB2312" w:cs="Microsoft JhengHei"/>
          <w:color w:val="000000"/>
          <w:kern w:val="0"/>
          <w:sz w:val="21"/>
          <w:szCs w:val="21"/>
          <w:lang w:val="en-GB" w:eastAsia="zh-CN" w:bidi="ar-SA"/>
        </w:rPr>
        <w:t>请求人：</w:t>
      </w:r>
      <w:r>
        <w:rPr>
          <w:rFonts w:hint="eastAsia" w:ascii="仿宋_GB2312" w:hAnsi="宋体" w:eastAsia="仿宋_GB2312" w:cs="Microsoft JhengHei"/>
          <w:color w:val="000000"/>
          <w:kern w:val="0"/>
          <w:sz w:val="21"/>
          <w:szCs w:val="21"/>
          <w:lang w:val="en-US" w:eastAsia="zh-CN" w:bidi="ar-SA"/>
        </w:rPr>
        <w:t>雷振雄</w:t>
      </w:r>
    </w:p>
    <w:p>
      <w:pPr>
        <w:keepNext w:val="0"/>
        <w:keepLines w:val="0"/>
        <w:pageBreakBefore w:val="0"/>
        <w:widowControl/>
        <w:kinsoku/>
        <w:overflowPunct/>
        <w:topLinePunct w:val="0"/>
        <w:autoSpaceDE/>
        <w:autoSpaceDN/>
        <w:bidi w:val="0"/>
        <w:adjustRightInd/>
        <w:snapToGrid/>
        <w:spacing w:line="560" w:lineRule="exact"/>
        <w:ind w:firstLine="420" w:firstLineChars="200"/>
        <w:jc w:val="left"/>
        <w:textAlignment w:val="auto"/>
        <w:rPr>
          <w:rFonts w:hint="eastAsia" w:ascii="仿宋_GB2312" w:hAnsi="宋体" w:eastAsia="仿宋_GB2312" w:cs="Microsoft JhengHei"/>
          <w:color w:val="000000"/>
          <w:kern w:val="0"/>
          <w:sz w:val="21"/>
          <w:szCs w:val="21"/>
          <w:lang w:val="en-US" w:eastAsia="zh-CN" w:bidi="ar-SA"/>
        </w:rPr>
      </w:pPr>
      <w:r>
        <w:rPr>
          <w:rFonts w:hint="eastAsia" w:ascii="仿宋_GB2312" w:hAnsi="宋体" w:eastAsia="仿宋_GB2312" w:cs="Microsoft JhengHei"/>
          <w:color w:val="000000"/>
          <w:kern w:val="0"/>
          <w:sz w:val="21"/>
          <w:szCs w:val="21"/>
          <w:lang w:val="en-GB" w:eastAsia="zh-CN" w:bidi="ar-SA"/>
        </w:rPr>
        <w:t>委托代理人：</w:t>
      </w:r>
      <w:r>
        <w:rPr>
          <w:rFonts w:hint="eastAsia" w:ascii="仿宋_GB2312" w:hAnsi="宋体" w:eastAsia="仿宋_GB2312" w:cs="Microsoft JhengHei"/>
          <w:color w:val="000000"/>
          <w:kern w:val="0"/>
          <w:sz w:val="21"/>
          <w:szCs w:val="21"/>
          <w:lang w:val="en-US" w:eastAsia="zh-CN" w:bidi="ar-SA"/>
        </w:rPr>
        <w:t>张宬 广东祖成律师事务所律师</w:t>
      </w:r>
    </w:p>
    <w:p>
      <w:pPr>
        <w:keepNext w:val="0"/>
        <w:keepLines w:val="0"/>
        <w:pageBreakBefore w:val="0"/>
        <w:widowControl/>
        <w:kinsoku/>
        <w:overflowPunct/>
        <w:topLinePunct w:val="0"/>
        <w:autoSpaceDE/>
        <w:autoSpaceDN/>
        <w:bidi w:val="0"/>
        <w:adjustRightInd/>
        <w:snapToGrid/>
        <w:spacing w:line="560" w:lineRule="exact"/>
        <w:ind w:firstLine="420" w:firstLineChars="200"/>
        <w:jc w:val="left"/>
        <w:textAlignment w:val="auto"/>
        <w:rPr>
          <w:rFonts w:hint="eastAsia" w:ascii="仿宋_GB2312" w:hAnsi="宋体" w:eastAsia="仿宋_GB2312" w:cs="Microsoft JhengHei"/>
          <w:color w:val="000000"/>
          <w:kern w:val="0"/>
          <w:sz w:val="21"/>
          <w:szCs w:val="21"/>
          <w:lang w:val="en-GB" w:eastAsia="zh-CN" w:bidi="ar-SA"/>
        </w:rPr>
      </w:pPr>
      <w:r>
        <w:rPr>
          <w:rFonts w:hint="eastAsia" w:ascii="仿宋_GB2312" w:hAnsi="宋体" w:eastAsia="仿宋_GB2312" w:cs="Microsoft JhengHei"/>
          <w:color w:val="000000"/>
          <w:kern w:val="0"/>
          <w:sz w:val="21"/>
          <w:szCs w:val="21"/>
          <w:lang w:val="en-GB" w:eastAsia="zh-CN" w:bidi="ar-SA"/>
        </w:rPr>
        <w:t>被请求人：</w:t>
      </w:r>
      <w:r>
        <w:rPr>
          <w:rFonts w:hint="eastAsia" w:ascii="仿宋_GB2312" w:hAnsi="宋体" w:eastAsia="仿宋_GB2312" w:cs="Microsoft JhengHei"/>
          <w:color w:val="000000"/>
          <w:kern w:val="0"/>
          <w:sz w:val="21"/>
          <w:szCs w:val="21"/>
          <w:lang w:val="en-US" w:eastAsia="zh-CN" w:bidi="ar-SA"/>
        </w:rPr>
        <w:t>深圳市宝创盈精密技术有限公司</w:t>
      </w:r>
    </w:p>
    <w:p>
      <w:pPr>
        <w:keepNext w:val="0"/>
        <w:keepLines w:val="0"/>
        <w:pageBreakBefore w:val="0"/>
        <w:widowControl/>
        <w:kinsoku/>
        <w:overflowPunct/>
        <w:topLinePunct w:val="0"/>
        <w:autoSpaceDE/>
        <w:autoSpaceDN/>
        <w:bidi w:val="0"/>
        <w:adjustRightInd/>
        <w:snapToGrid/>
        <w:spacing w:line="560" w:lineRule="exact"/>
        <w:ind w:firstLine="420" w:firstLineChars="200"/>
        <w:jc w:val="left"/>
        <w:textAlignment w:val="auto"/>
        <w:rPr>
          <w:rFonts w:hint="eastAsia" w:ascii="仿宋_GB2312" w:hAnsi="宋体" w:eastAsia="仿宋_GB2312" w:cs="Microsoft JhengHei"/>
          <w:color w:val="000000"/>
          <w:kern w:val="0"/>
          <w:sz w:val="21"/>
          <w:szCs w:val="21"/>
          <w:lang w:val="en-GB" w:eastAsia="zh-CN" w:bidi="ar-SA"/>
        </w:rPr>
      </w:pPr>
      <w:r>
        <w:rPr>
          <w:rFonts w:hint="eastAsia" w:ascii="仿宋_GB2312" w:hAnsi="宋体" w:eastAsia="仿宋_GB2312" w:cs="Microsoft JhengHei"/>
          <w:color w:val="000000"/>
          <w:kern w:val="0"/>
          <w:sz w:val="21"/>
          <w:szCs w:val="21"/>
          <w:lang w:val="en-GB" w:eastAsia="zh-CN" w:bidi="ar-SA"/>
        </w:rPr>
        <w:t>法定代表人</w:t>
      </w:r>
      <w:r>
        <w:rPr>
          <w:rFonts w:hint="eastAsia" w:ascii="仿宋_GB2312" w:hAnsi="宋体" w:eastAsia="仿宋_GB2312" w:cs="Microsoft JhengHei"/>
          <w:color w:val="000000"/>
          <w:kern w:val="0"/>
          <w:sz w:val="21"/>
          <w:szCs w:val="21"/>
          <w:lang w:val="en-US" w:eastAsia="zh-CN" w:bidi="ar-SA"/>
        </w:rPr>
        <w:t>（</w:t>
      </w:r>
      <w:r>
        <w:rPr>
          <w:rFonts w:hint="eastAsia" w:ascii="仿宋_GB2312" w:hAnsi="宋体" w:eastAsia="仿宋_GB2312" w:cs="Microsoft JhengHei"/>
          <w:color w:val="000000"/>
          <w:kern w:val="0"/>
          <w:sz w:val="21"/>
          <w:szCs w:val="21"/>
          <w:lang w:val="en-GB" w:eastAsia="zh-CN" w:bidi="ar-SA"/>
        </w:rPr>
        <w:t>负责人</w:t>
      </w:r>
      <w:r>
        <w:rPr>
          <w:rFonts w:hint="eastAsia" w:ascii="仿宋_GB2312" w:hAnsi="宋体" w:eastAsia="仿宋_GB2312" w:cs="Microsoft JhengHei"/>
          <w:color w:val="000000"/>
          <w:kern w:val="0"/>
          <w:sz w:val="21"/>
          <w:szCs w:val="21"/>
          <w:lang w:val="en-US" w:eastAsia="zh-CN" w:bidi="ar-SA"/>
        </w:rPr>
        <w:t>）：孙雪</w:t>
      </w:r>
    </w:p>
    <w:p>
      <w:pPr>
        <w:keepNext w:val="0"/>
        <w:keepLines w:val="0"/>
        <w:pageBreakBefore w:val="0"/>
        <w:widowControl/>
        <w:kinsoku/>
        <w:overflowPunct/>
        <w:topLinePunct w:val="0"/>
        <w:autoSpaceDE/>
        <w:autoSpaceDN/>
        <w:bidi w:val="0"/>
        <w:adjustRightInd/>
        <w:snapToGrid/>
        <w:spacing w:line="560" w:lineRule="exact"/>
        <w:ind w:firstLine="420" w:firstLineChars="200"/>
        <w:jc w:val="left"/>
        <w:textAlignment w:val="auto"/>
        <w:rPr>
          <w:rFonts w:hint="eastAsia" w:ascii="仿宋_GB2312" w:hAnsi="宋体" w:eastAsia="仿宋_GB2312" w:cs="Microsoft JhengHei"/>
          <w:color w:val="000000"/>
          <w:kern w:val="0"/>
          <w:sz w:val="21"/>
          <w:szCs w:val="21"/>
          <w:lang w:val="en-US" w:eastAsia="zh-CN" w:bidi="ar-SA"/>
        </w:rPr>
      </w:pPr>
      <w:r>
        <w:rPr>
          <w:rFonts w:hint="eastAsia" w:ascii="仿宋_GB2312" w:hAnsi="宋体" w:eastAsia="仿宋_GB2312" w:cs="Microsoft JhengHei"/>
          <w:color w:val="000000"/>
          <w:kern w:val="0"/>
          <w:sz w:val="21"/>
          <w:szCs w:val="21"/>
          <w:lang w:val="en-GB" w:eastAsia="zh-CN" w:bidi="ar-SA"/>
        </w:rPr>
        <w:t>住所：</w:t>
      </w:r>
      <w:r>
        <w:rPr>
          <w:rFonts w:hint="eastAsia" w:ascii="仿宋_GB2312" w:hAnsi="宋体" w:eastAsia="仿宋_GB2312" w:cs="Microsoft JhengHei"/>
          <w:color w:val="000000"/>
          <w:kern w:val="0"/>
          <w:sz w:val="21"/>
          <w:szCs w:val="21"/>
          <w:lang w:val="en-US" w:eastAsia="zh-CN" w:bidi="ar-SA"/>
        </w:rPr>
        <w:t>深圳市光明新区公明办事处李松蓢社区第三工业区博聚潜能工业园1栋6楼A区</w:t>
      </w:r>
    </w:p>
    <w:p>
      <w:pPr>
        <w:keepNext w:val="0"/>
        <w:keepLines w:val="0"/>
        <w:pageBreakBefore w:val="0"/>
        <w:widowControl/>
        <w:kinsoku/>
        <w:overflowPunct/>
        <w:topLinePunct w:val="0"/>
        <w:autoSpaceDE/>
        <w:autoSpaceDN/>
        <w:bidi w:val="0"/>
        <w:adjustRightInd/>
        <w:snapToGrid/>
        <w:spacing w:line="560" w:lineRule="exact"/>
        <w:ind w:firstLine="420" w:firstLineChars="200"/>
        <w:jc w:val="left"/>
        <w:textAlignment w:val="auto"/>
        <w:rPr>
          <w:rFonts w:hint="eastAsia" w:ascii="仿宋_GB2312" w:hAnsi="宋体" w:eastAsia="仿宋_GB2312" w:cs="Microsoft JhengHei"/>
          <w:color w:val="000000"/>
          <w:kern w:val="0"/>
          <w:sz w:val="21"/>
          <w:szCs w:val="21"/>
          <w:lang w:val="en-GB" w:eastAsia="zh-CN" w:bidi="ar-SA"/>
        </w:rPr>
      </w:pPr>
      <w:r>
        <w:rPr>
          <w:rFonts w:hint="eastAsia" w:ascii="仿宋_GB2312" w:hAnsi="宋体" w:eastAsia="仿宋_GB2312" w:cs="Microsoft JhengHei"/>
          <w:color w:val="000000"/>
          <w:kern w:val="0"/>
          <w:sz w:val="21"/>
          <w:szCs w:val="21"/>
          <w:lang w:val="en-GB" w:eastAsia="zh-CN" w:bidi="ar-SA"/>
        </w:rPr>
        <w:t>案由：雷振雄请求处理深圳市宝创盈精密技术有限公司涉嫌侵犯夹持治具实用新型专利权纠纷案</w:t>
      </w:r>
      <w:r>
        <w:rPr>
          <w:rFonts w:hint="eastAsia" w:ascii="仿宋_GB2312" w:hAnsi="宋体" w:eastAsia="仿宋_GB2312" w:cs="Microsoft JhengHei"/>
          <w:color w:val="000000"/>
          <w:kern w:val="0"/>
          <w:sz w:val="21"/>
          <w:szCs w:val="21"/>
          <w:lang w:val="en-US" w:eastAsia="zh-CN" w:bidi="ar-SA"/>
        </w:rPr>
        <w:t>（</w:t>
      </w:r>
      <w:r>
        <w:rPr>
          <w:rFonts w:hint="eastAsia" w:ascii="仿宋_GB2312" w:hAnsi="宋体" w:eastAsia="仿宋_GB2312" w:cs="Microsoft JhengHei"/>
          <w:color w:val="000000"/>
          <w:kern w:val="0"/>
          <w:sz w:val="21"/>
          <w:szCs w:val="21"/>
          <w:lang w:val="en-GB" w:eastAsia="zh-CN" w:bidi="ar-SA"/>
        </w:rPr>
        <w:t>专利号：ZL202123048039.5</w:t>
      </w:r>
      <w:r>
        <w:rPr>
          <w:rFonts w:hint="eastAsia" w:ascii="仿宋_GB2312" w:hAnsi="宋体" w:eastAsia="仿宋_GB2312" w:cs="Microsoft JhengHei"/>
          <w:color w:val="000000"/>
          <w:kern w:val="0"/>
          <w:sz w:val="21"/>
          <w:szCs w:val="21"/>
          <w:lang w:val="en-US" w:eastAsia="zh-CN" w:bidi="ar-SA"/>
        </w:rPr>
        <w:t>）。</w:t>
      </w:r>
    </w:p>
    <w:p>
      <w:pPr>
        <w:keepNext w:val="0"/>
        <w:keepLines w:val="0"/>
        <w:pageBreakBefore w:val="0"/>
        <w:widowControl/>
        <w:tabs>
          <w:tab w:val="left" w:leader="underscore" w:pos="1947"/>
        </w:tabs>
        <w:kinsoku/>
        <w:overflowPunct/>
        <w:topLinePunct w:val="0"/>
        <w:autoSpaceDE/>
        <w:autoSpaceDN/>
        <w:bidi w:val="0"/>
        <w:adjustRightInd/>
        <w:snapToGrid/>
        <w:spacing w:line="560" w:lineRule="exact"/>
        <w:ind w:firstLine="420" w:firstLineChars="200"/>
        <w:jc w:val="left"/>
        <w:textAlignment w:val="auto"/>
        <w:rPr>
          <w:rFonts w:hint="eastAsia" w:ascii="仿宋_GB2312" w:hAnsi="宋体" w:eastAsia="仿宋_GB2312" w:cs="Microsoft JhengHei"/>
          <w:color w:val="000000"/>
          <w:kern w:val="0"/>
          <w:sz w:val="21"/>
          <w:szCs w:val="21"/>
          <w:lang w:val="en-GB" w:eastAsia="zh-CN" w:bidi="ar-SA"/>
        </w:rPr>
      </w:pPr>
      <w:r>
        <w:rPr>
          <w:rFonts w:hint="eastAsia" w:ascii="仿宋_GB2312" w:hAnsi="宋体" w:eastAsia="仿宋_GB2312" w:cs="Microsoft JhengHei"/>
          <w:color w:val="000000"/>
          <w:kern w:val="0"/>
          <w:sz w:val="21"/>
          <w:szCs w:val="21"/>
          <w:lang w:val="en-GB" w:eastAsia="zh-CN" w:bidi="ar-SA"/>
        </w:rPr>
        <w:t>请求人</w:t>
      </w:r>
      <w:r>
        <w:rPr>
          <w:rFonts w:hint="eastAsia" w:ascii="仿宋_GB2312" w:hAnsi="宋体" w:eastAsia="仿宋_GB2312" w:cs="Microsoft JhengHei"/>
          <w:color w:val="000000"/>
          <w:kern w:val="0"/>
          <w:sz w:val="21"/>
          <w:szCs w:val="21"/>
          <w:lang w:val="en-US" w:eastAsia="zh-CN" w:bidi="ar-SA"/>
        </w:rPr>
        <w:t>雷振雄于2023年4月14日向本局提出专利侵权纠纷行政处理请求，诉被请求人深圳市宝创盈精密技术有限公司未经许可，生产、销售、许诺销售、使用的夹持治具包含了与涉案专利权利要求6技术方案相同的全部技术特征，落入权利要求6的保护范围，特</w:t>
      </w:r>
      <w:r>
        <w:rPr>
          <w:rFonts w:hint="eastAsia" w:ascii="仿宋_GB2312" w:hAnsi="宋体" w:eastAsia="仿宋_GB2312" w:cs="Microsoft JhengHei"/>
          <w:color w:val="000000"/>
          <w:kern w:val="0"/>
          <w:sz w:val="21"/>
          <w:szCs w:val="21"/>
          <w:lang w:val="en-GB" w:eastAsia="zh-CN" w:bidi="ar-SA"/>
        </w:rPr>
        <w:t>请求：</w:t>
      </w:r>
      <w:r>
        <w:rPr>
          <w:rFonts w:hint="eastAsia" w:ascii="仿宋_GB2312" w:hAnsi="宋体" w:eastAsia="仿宋_GB2312" w:cs="Microsoft JhengHei"/>
          <w:color w:val="000000"/>
          <w:kern w:val="0"/>
          <w:sz w:val="21"/>
          <w:szCs w:val="21"/>
          <w:lang w:val="en-US" w:eastAsia="zh-CN" w:bidi="ar-SA"/>
        </w:rPr>
        <w:t>1.</w:t>
      </w:r>
      <w:r>
        <w:rPr>
          <w:rFonts w:hint="eastAsia" w:ascii="仿宋_GB2312" w:hAnsi="宋体" w:eastAsia="仿宋_GB2312" w:cs="Microsoft JhengHei"/>
          <w:color w:val="000000"/>
          <w:kern w:val="0"/>
          <w:sz w:val="21"/>
          <w:szCs w:val="21"/>
          <w:lang w:val="en-GB" w:eastAsia="zh-CN" w:bidi="ar-SA"/>
        </w:rPr>
        <w:t>认定被请求人侵权行为成立；</w:t>
      </w:r>
      <w:r>
        <w:rPr>
          <w:rFonts w:hint="eastAsia" w:ascii="仿宋_GB2312" w:hAnsi="宋体" w:eastAsia="仿宋_GB2312" w:cs="Microsoft JhengHei"/>
          <w:color w:val="000000"/>
          <w:kern w:val="0"/>
          <w:sz w:val="21"/>
          <w:szCs w:val="21"/>
          <w:lang w:val="en-US" w:eastAsia="zh-CN" w:bidi="ar-SA"/>
        </w:rPr>
        <w:t>2.</w:t>
      </w:r>
      <w:r>
        <w:rPr>
          <w:rFonts w:hint="eastAsia" w:ascii="仿宋_GB2312" w:hAnsi="宋体" w:eastAsia="仿宋_GB2312" w:cs="Microsoft JhengHei"/>
          <w:color w:val="000000"/>
          <w:kern w:val="0"/>
          <w:sz w:val="21"/>
          <w:szCs w:val="21"/>
          <w:lang w:val="en-GB" w:eastAsia="zh-CN" w:bidi="ar-SA"/>
        </w:rPr>
        <w:t>责令被请求人立即停止侵权行为。</w:t>
      </w:r>
    </w:p>
    <w:p>
      <w:pPr>
        <w:keepNext w:val="0"/>
        <w:keepLines w:val="0"/>
        <w:pageBreakBefore w:val="0"/>
        <w:widowControl/>
        <w:kinsoku/>
        <w:overflowPunct/>
        <w:topLinePunct w:val="0"/>
        <w:autoSpaceDE/>
        <w:autoSpaceDN/>
        <w:bidi w:val="0"/>
        <w:adjustRightInd/>
        <w:snapToGrid/>
        <w:spacing w:line="560" w:lineRule="exact"/>
        <w:ind w:firstLine="420" w:firstLineChars="200"/>
        <w:jc w:val="left"/>
        <w:textAlignment w:val="auto"/>
        <w:rPr>
          <w:rFonts w:hint="eastAsia" w:ascii="仿宋_GB2312" w:hAnsi="宋体" w:eastAsia="仿宋_GB2312" w:cs="Microsoft JhengHei"/>
          <w:color w:val="000000"/>
          <w:kern w:val="0"/>
          <w:sz w:val="21"/>
          <w:szCs w:val="21"/>
          <w:lang w:val="en-GB" w:eastAsia="zh-CN" w:bidi="ar-SA"/>
        </w:rPr>
      </w:pPr>
      <w:r>
        <w:rPr>
          <w:rFonts w:hint="eastAsia" w:ascii="仿宋_GB2312" w:hAnsi="宋体" w:eastAsia="仿宋_GB2312" w:cs="Microsoft JhengHei"/>
          <w:color w:val="000000"/>
          <w:kern w:val="0"/>
          <w:sz w:val="21"/>
          <w:szCs w:val="21"/>
          <w:lang w:val="en-GB" w:eastAsia="zh-CN" w:bidi="ar-SA"/>
        </w:rPr>
        <w:t>本局受理请求人的行政处理请求后，于</w:t>
      </w:r>
      <w:r>
        <w:rPr>
          <w:rFonts w:hint="eastAsia" w:ascii="仿宋_GB2312" w:hAnsi="宋体" w:eastAsia="仿宋_GB2312" w:cs="Microsoft JhengHei"/>
          <w:color w:val="000000"/>
          <w:kern w:val="0"/>
          <w:sz w:val="21"/>
          <w:szCs w:val="21"/>
          <w:lang w:val="en-US" w:eastAsia="zh-CN" w:bidi="ar-SA"/>
        </w:rPr>
        <w:t>2023年4月20日</w:t>
      </w:r>
      <w:r>
        <w:rPr>
          <w:rFonts w:hint="eastAsia" w:ascii="仿宋_GB2312" w:hAnsi="宋体" w:eastAsia="仿宋_GB2312" w:cs="Microsoft JhengHei"/>
          <w:color w:val="000000"/>
          <w:kern w:val="0"/>
          <w:sz w:val="21"/>
          <w:szCs w:val="21"/>
          <w:lang w:val="en-GB" w:eastAsia="zh-CN" w:bidi="ar-SA"/>
        </w:rPr>
        <w:t>依法对被请求人</w:t>
      </w:r>
      <w:r>
        <w:rPr>
          <w:rFonts w:hint="eastAsia" w:ascii="仿宋_GB2312" w:hAnsi="宋体" w:eastAsia="仿宋_GB2312" w:cs="Microsoft JhengHei"/>
          <w:color w:val="000000"/>
          <w:kern w:val="0"/>
          <w:sz w:val="21"/>
          <w:szCs w:val="21"/>
          <w:lang w:val="en-US" w:eastAsia="zh-CN" w:bidi="ar-SA"/>
        </w:rPr>
        <w:t>深圳市宝创盈精密技术有限公司</w:t>
      </w:r>
      <w:r>
        <w:rPr>
          <w:rFonts w:hint="eastAsia" w:ascii="仿宋_GB2312" w:hAnsi="宋体" w:eastAsia="仿宋_GB2312" w:cs="Microsoft JhengHei"/>
          <w:color w:val="000000"/>
          <w:kern w:val="0"/>
          <w:sz w:val="21"/>
          <w:szCs w:val="21"/>
          <w:lang w:val="en-GB" w:eastAsia="zh-CN" w:bidi="ar-SA"/>
        </w:rPr>
        <w:t>位于</w:t>
      </w:r>
      <w:r>
        <w:rPr>
          <w:rFonts w:hint="eastAsia" w:ascii="仿宋_GB2312" w:hAnsi="宋体" w:eastAsia="仿宋_GB2312" w:cs="Microsoft JhengHei"/>
          <w:color w:val="000000"/>
          <w:kern w:val="0"/>
          <w:sz w:val="21"/>
          <w:szCs w:val="21"/>
          <w:lang w:val="en-US" w:eastAsia="zh-CN" w:bidi="ar-SA"/>
        </w:rPr>
        <w:t>深圳市光明新区公明办事处李松蓢社区第三工业区博聚潜能工业园1栋6楼A区</w:t>
      </w:r>
      <w:r>
        <w:rPr>
          <w:rFonts w:hint="eastAsia" w:ascii="仿宋_GB2312" w:hAnsi="宋体" w:eastAsia="仿宋_GB2312" w:cs="Microsoft JhengHei"/>
          <w:color w:val="000000"/>
          <w:kern w:val="0"/>
          <w:sz w:val="21"/>
          <w:szCs w:val="21"/>
          <w:lang w:val="en-GB" w:eastAsia="zh-CN" w:bidi="ar-SA"/>
        </w:rPr>
        <w:t>经营场所进行了现场检查，并于现场检查的同时，依法向被请求人送达了ZL202123048039.5号</w:t>
      </w:r>
      <w:r>
        <w:rPr>
          <w:rFonts w:hint="eastAsia" w:ascii="仿宋_GB2312" w:hAnsi="宋体" w:eastAsia="仿宋_GB2312" w:cs="Microsoft JhengHei"/>
          <w:color w:val="000000"/>
          <w:kern w:val="0"/>
          <w:sz w:val="21"/>
          <w:szCs w:val="21"/>
          <w:lang w:val="en-US" w:eastAsia="zh-CN" w:bidi="ar-SA"/>
        </w:rPr>
        <w:t>实用新型</w:t>
      </w:r>
      <w:r>
        <w:rPr>
          <w:rFonts w:hint="eastAsia" w:ascii="仿宋_GB2312" w:hAnsi="宋体" w:eastAsia="仿宋_GB2312" w:cs="Microsoft JhengHei"/>
          <w:color w:val="000000"/>
          <w:kern w:val="0"/>
          <w:sz w:val="21"/>
          <w:szCs w:val="21"/>
          <w:lang w:val="en-GB" w:eastAsia="zh-CN" w:bidi="ar-SA"/>
        </w:rPr>
        <w:t>专利侵权纠纷请求</w:t>
      </w:r>
      <w:r>
        <w:rPr>
          <w:rFonts w:hint="eastAsia" w:ascii="仿宋_GB2312" w:hAnsi="宋体" w:eastAsia="仿宋_GB2312" w:cs="Microsoft JhengHei"/>
          <w:color w:val="000000"/>
          <w:kern w:val="0"/>
          <w:sz w:val="21"/>
          <w:szCs w:val="21"/>
          <w:lang w:val="en-US" w:eastAsia="zh-CN" w:bidi="ar-SA"/>
        </w:rPr>
        <w:t>书</w:t>
      </w:r>
      <w:r>
        <w:rPr>
          <w:rFonts w:hint="eastAsia" w:ascii="仿宋_GB2312" w:hAnsi="宋体" w:eastAsia="仿宋_GB2312" w:cs="Microsoft JhengHei"/>
          <w:color w:val="000000"/>
          <w:kern w:val="0"/>
          <w:sz w:val="21"/>
          <w:szCs w:val="21"/>
          <w:lang w:val="en-GB" w:eastAsia="zh-CN" w:bidi="ar-SA"/>
        </w:rPr>
        <w:t>副本。经现场检查发现有</w:t>
      </w:r>
      <w:r>
        <w:rPr>
          <w:rFonts w:hint="eastAsia" w:ascii="仿宋_GB2312" w:hAnsi="宋体" w:eastAsia="仿宋_GB2312" w:cs="Microsoft JhengHei"/>
          <w:color w:val="000000"/>
          <w:kern w:val="0"/>
          <w:sz w:val="21"/>
          <w:szCs w:val="21"/>
          <w:lang w:val="en-US" w:eastAsia="zh-CN" w:bidi="ar-SA"/>
        </w:rPr>
        <w:t>与</w:t>
      </w:r>
      <w:r>
        <w:rPr>
          <w:rFonts w:hint="eastAsia" w:ascii="仿宋_GB2312" w:hAnsi="宋体" w:eastAsia="仿宋_GB2312" w:cs="Microsoft JhengHei"/>
          <w:color w:val="000000"/>
          <w:kern w:val="0"/>
          <w:sz w:val="21"/>
          <w:szCs w:val="21"/>
          <w:lang w:val="en-GB" w:eastAsia="zh-CN" w:bidi="ar-SA"/>
        </w:rPr>
        <w:t>ZL202123048039.5号</w:t>
      </w:r>
      <w:r>
        <w:rPr>
          <w:rFonts w:hint="eastAsia" w:ascii="仿宋_GB2312" w:hAnsi="宋体" w:eastAsia="仿宋_GB2312" w:cs="Microsoft JhengHei"/>
          <w:color w:val="000000"/>
          <w:kern w:val="0"/>
          <w:sz w:val="21"/>
          <w:szCs w:val="21"/>
          <w:lang w:val="en-US" w:eastAsia="zh-CN" w:bidi="ar-SA"/>
        </w:rPr>
        <w:t>实用新型</w:t>
      </w:r>
      <w:r>
        <w:rPr>
          <w:rFonts w:hint="eastAsia" w:ascii="仿宋_GB2312" w:hAnsi="宋体" w:eastAsia="仿宋_GB2312" w:cs="Microsoft JhengHei"/>
          <w:color w:val="000000"/>
          <w:kern w:val="0"/>
          <w:sz w:val="21"/>
          <w:szCs w:val="21"/>
          <w:lang w:val="en-GB" w:eastAsia="zh-CN" w:bidi="ar-SA"/>
        </w:rPr>
        <w:t>专利相关的</w:t>
      </w:r>
      <w:r>
        <w:rPr>
          <w:rFonts w:hint="eastAsia" w:ascii="仿宋_GB2312" w:hAnsi="宋体" w:eastAsia="仿宋_GB2312" w:cs="Microsoft JhengHei"/>
          <w:color w:val="000000"/>
          <w:kern w:val="0"/>
          <w:sz w:val="21"/>
          <w:szCs w:val="21"/>
          <w:lang w:val="en-US" w:eastAsia="zh-CN" w:bidi="ar-SA"/>
        </w:rPr>
        <w:t>夹持治具</w:t>
      </w:r>
      <w:r>
        <w:rPr>
          <w:rFonts w:hint="eastAsia" w:ascii="仿宋_GB2312" w:hAnsi="宋体" w:eastAsia="仿宋_GB2312" w:cs="Microsoft JhengHei"/>
          <w:color w:val="000000"/>
          <w:kern w:val="0"/>
          <w:sz w:val="21"/>
          <w:szCs w:val="21"/>
          <w:lang w:val="en-GB" w:eastAsia="zh-CN" w:bidi="ar-SA"/>
        </w:rPr>
        <w:t>。我局人员对上述产品拍照取证，同时制作了现场检查笔录，现场送达了《答辩通知书》等相关材料，被请求人公司法定代表人</w:t>
      </w:r>
      <w:r>
        <w:rPr>
          <w:rFonts w:hint="eastAsia" w:ascii="仿宋_GB2312" w:hAnsi="宋体" w:eastAsia="仿宋_GB2312" w:cs="Microsoft JhengHei"/>
          <w:color w:val="000000"/>
          <w:kern w:val="0"/>
          <w:sz w:val="21"/>
          <w:szCs w:val="21"/>
          <w:lang w:val="en-US" w:eastAsia="zh-CN" w:bidi="ar-SA"/>
        </w:rPr>
        <w:t>孙雪陪同检查并签字确认。</w:t>
      </w:r>
    </w:p>
    <w:p>
      <w:pPr>
        <w:pStyle w:val="7"/>
        <w:keepNext w:val="0"/>
        <w:keepLines w:val="0"/>
        <w:pageBreakBefore w:val="0"/>
        <w:shd w:val="clear" w:color="auto" w:fill="auto"/>
        <w:kinsoku/>
        <w:overflowPunct/>
        <w:topLinePunct w:val="0"/>
        <w:autoSpaceDE/>
        <w:autoSpaceDN/>
        <w:bidi w:val="0"/>
        <w:adjustRightInd/>
        <w:snapToGrid/>
        <w:spacing w:before="0" w:line="560" w:lineRule="exact"/>
        <w:ind w:firstLine="420" w:firstLineChars="200"/>
        <w:jc w:val="left"/>
        <w:textAlignment w:val="auto"/>
        <w:rPr>
          <w:rFonts w:hint="eastAsia" w:ascii="仿宋_GB2312" w:hAnsi="宋体" w:eastAsia="仿宋_GB2312" w:cs="Microsoft JhengHei"/>
          <w:color w:val="000000"/>
          <w:kern w:val="0"/>
          <w:sz w:val="21"/>
          <w:szCs w:val="21"/>
          <w:lang w:val="en-US" w:eastAsia="zh-CN" w:bidi="ar-SA"/>
        </w:rPr>
      </w:pPr>
      <w:r>
        <w:rPr>
          <w:rFonts w:hint="eastAsia" w:ascii="仿宋_GB2312" w:hAnsi="宋体" w:eastAsia="仿宋_GB2312" w:cs="Microsoft JhengHei"/>
          <w:color w:val="000000"/>
          <w:kern w:val="0"/>
          <w:sz w:val="21"/>
          <w:szCs w:val="21"/>
          <w:lang w:val="en-US" w:eastAsia="zh-CN" w:bidi="ar-SA"/>
        </w:rPr>
        <w:t>被请求人在收到《专利侵权纠纷行政处理案件答辩通知书》后，于2023年5月4日向我局提交《答辩书》并答辩如下：</w:t>
      </w:r>
    </w:p>
    <w:p>
      <w:pPr>
        <w:pStyle w:val="7"/>
        <w:keepNext w:val="0"/>
        <w:keepLines w:val="0"/>
        <w:pageBreakBefore w:val="0"/>
        <w:shd w:val="clear" w:color="auto" w:fill="auto"/>
        <w:kinsoku/>
        <w:overflowPunct/>
        <w:topLinePunct w:val="0"/>
        <w:autoSpaceDE/>
        <w:autoSpaceDN/>
        <w:bidi w:val="0"/>
        <w:adjustRightInd/>
        <w:snapToGrid/>
        <w:spacing w:before="0" w:line="560" w:lineRule="exact"/>
        <w:ind w:firstLine="420" w:firstLineChars="200"/>
        <w:jc w:val="left"/>
        <w:textAlignment w:val="auto"/>
        <w:rPr>
          <w:rFonts w:hint="eastAsia" w:ascii="仿宋_GB2312" w:hAnsi="宋体" w:eastAsia="仿宋_GB2312" w:cs="Microsoft JhengHei"/>
          <w:color w:val="000000"/>
          <w:kern w:val="0"/>
          <w:sz w:val="21"/>
          <w:szCs w:val="21"/>
          <w:lang w:val="en-US" w:eastAsia="zh-CN" w:bidi="ar-SA"/>
        </w:rPr>
      </w:pPr>
      <w:r>
        <w:rPr>
          <w:rFonts w:hint="eastAsia" w:ascii="仿宋_GB2312" w:hAnsi="宋体" w:eastAsia="仿宋_GB2312" w:cs="Microsoft JhengHei"/>
          <w:color w:val="000000"/>
          <w:kern w:val="0"/>
          <w:sz w:val="21"/>
          <w:szCs w:val="21"/>
          <w:lang w:val="en-US" w:eastAsia="zh-CN" w:bidi="ar-SA"/>
        </w:rPr>
        <w:t>1.被请求人公司从深圳市汉友自动化技术有限公司采购上下板机机器，涉事产品作为机器的组成部分附带赠送，一共十片。</w:t>
      </w:r>
    </w:p>
    <w:p>
      <w:pPr>
        <w:pStyle w:val="7"/>
        <w:keepNext w:val="0"/>
        <w:keepLines w:val="0"/>
        <w:pageBreakBefore w:val="0"/>
        <w:shd w:val="clear" w:color="auto" w:fill="auto"/>
        <w:kinsoku/>
        <w:overflowPunct/>
        <w:topLinePunct w:val="0"/>
        <w:autoSpaceDE/>
        <w:autoSpaceDN/>
        <w:bidi w:val="0"/>
        <w:adjustRightInd/>
        <w:snapToGrid/>
        <w:spacing w:before="0" w:line="560" w:lineRule="exact"/>
        <w:ind w:firstLine="420" w:firstLineChars="200"/>
        <w:jc w:val="left"/>
        <w:textAlignment w:val="auto"/>
        <w:rPr>
          <w:rFonts w:hint="eastAsia" w:ascii="仿宋_GB2312" w:hAnsi="宋体" w:eastAsia="仿宋_GB2312" w:cs="Microsoft JhengHei"/>
          <w:color w:val="000000"/>
          <w:kern w:val="0"/>
          <w:sz w:val="21"/>
          <w:szCs w:val="21"/>
          <w:lang w:val="en-US" w:eastAsia="zh-CN" w:bidi="ar-SA"/>
        </w:rPr>
      </w:pPr>
      <w:r>
        <w:rPr>
          <w:rFonts w:hint="eastAsia" w:ascii="仿宋_GB2312" w:hAnsi="宋体" w:eastAsia="仿宋_GB2312" w:cs="Microsoft JhengHei"/>
          <w:color w:val="000000"/>
          <w:kern w:val="0"/>
          <w:sz w:val="21"/>
          <w:szCs w:val="21"/>
          <w:lang w:val="en-US" w:eastAsia="zh-CN" w:bidi="ar-SA"/>
        </w:rPr>
        <w:t>2.被请求人公司并未生产、销售、许诺销售涉事产品，并对涉事产品是否侵犯专利权不知情，被请求人向我局提供申请号为202321129250.6的专利申请材料。</w:t>
      </w:r>
    </w:p>
    <w:p>
      <w:pPr>
        <w:keepNext w:val="0"/>
        <w:keepLines w:val="0"/>
        <w:pageBreakBefore w:val="0"/>
        <w:widowControl/>
        <w:tabs>
          <w:tab w:val="left" w:leader="underscore" w:pos="1947"/>
        </w:tabs>
        <w:kinsoku/>
        <w:overflowPunct/>
        <w:topLinePunct w:val="0"/>
        <w:autoSpaceDE/>
        <w:autoSpaceDN/>
        <w:bidi w:val="0"/>
        <w:adjustRightInd/>
        <w:snapToGrid/>
        <w:spacing w:line="560" w:lineRule="exact"/>
        <w:ind w:firstLine="420" w:firstLineChars="200"/>
        <w:jc w:val="left"/>
        <w:textAlignment w:val="auto"/>
        <w:rPr>
          <w:rFonts w:hint="eastAsia" w:ascii="仿宋_GB2312" w:hAnsi="宋体" w:eastAsia="仿宋_GB2312" w:cs="Microsoft JhengHei"/>
          <w:color w:val="000000"/>
          <w:kern w:val="0"/>
          <w:sz w:val="21"/>
          <w:szCs w:val="21"/>
          <w:lang w:val="en-GB" w:eastAsia="zh-CN" w:bidi="ar-SA"/>
        </w:rPr>
      </w:pPr>
      <w:r>
        <w:rPr>
          <w:rFonts w:hint="eastAsia" w:ascii="仿宋_GB2312" w:hAnsi="宋体" w:eastAsia="仿宋_GB2312" w:cs="Microsoft JhengHei"/>
          <w:color w:val="000000"/>
          <w:kern w:val="0"/>
          <w:sz w:val="21"/>
          <w:szCs w:val="21"/>
          <w:lang w:val="en-GB" w:eastAsia="zh-CN" w:bidi="ar-SA"/>
        </w:rPr>
        <w:t>经审理查明：</w:t>
      </w:r>
    </w:p>
    <w:p>
      <w:pPr>
        <w:keepNext w:val="0"/>
        <w:keepLines w:val="0"/>
        <w:pageBreakBefore w:val="0"/>
        <w:widowControl/>
        <w:tabs>
          <w:tab w:val="left" w:leader="underscore" w:pos="1947"/>
        </w:tabs>
        <w:kinsoku/>
        <w:overflowPunct/>
        <w:topLinePunct w:val="0"/>
        <w:autoSpaceDE/>
        <w:autoSpaceDN/>
        <w:bidi w:val="0"/>
        <w:adjustRightInd/>
        <w:snapToGrid/>
        <w:spacing w:line="560" w:lineRule="exact"/>
        <w:ind w:firstLine="420" w:firstLineChars="200"/>
        <w:jc w:val="left"/>
        <w:textAlignment w:val="auto"/>
        <w:rPr>
          <w:rFonts w:hint="eastAsia" w:ascii="仿宋_GB2312" w:hAnsi="宋体" w:eastAsia="仿宋_GB2312" w:cs="Microsoft JhengHei"/>
          <w:color w:val="000000"/>
          <w:kern w:val="0"/>
          <w:sz w:val="21"/>
          <w:szCs w:val="21"/>
          <w:lang w:val="en-GB" w:eastAsia="zh-CN" w:bidi="ar-SA"/>
        </w:rPr>
      </w:pPr>
      <w:r>
        <w:rPr>
          <w:rFonts w:hint="eastAsia" w:ascii="仿宋_GB2312" w:hAnsi="宋体" w:eastAsia="仿宋_GB2312" w:cs="Microsoft JhengHei"/>
          <w:color w:val="000000"/>
          <w:kern w:val="0"/>
          <w:sz w:val="21"/>
          <w:szCs w:val="21"/>
          <w:lang w:val="en-US" w:eastAsia="zh-CN" w:bidi="ar-SA"/>
        </w:rPr>
        <w:t>1.</w:t>
      </w:r>
      <w:r>
        <w:rPr>
          <w:rFonts w:hint="eastAsia" w:ascii="仿宋_GB2312" w:hAnsi="宋体" w:eastAsia="仿宋_GB2312" w:cs="Microsoft JhengHei"/>
          <w:color w:val="000000"/>
          <w:kern w:val="0"/>
          <w:sz w:val="21"/>
          <w:szCs w:val="21"/>
          <w:lang w:val="en-GB" w:eastAsia="zh-CN" w:bidi="ar-SA"/>
        </w:rPr>
        <w:t>涉案产品与涉案</w:t>
      </w:r>
      <w:r>
        <w:rPr>
          <w:rFonts w:hint="eastAsia" w:ascii="仿宋_GB2312" w:hAnsi="宋体" w:eastAsia="仿宋_GB2312" w:cs="Microsoft JhengHei"/>
          <w:color w:val="000000"/>
          <w:kern w:val="0"/>
          <w:sz w:val="21"/>
          <w:szCs w:val="21"/>
          <w:lang w:val="en-US" w:eastAsia="zh-CN" w:bidi="ar-SA"/>
        </w:rPr>
        <w:t>实用新型</w:t>
      </w:r>
      <w:r>
        <w:rPr>
          <w:rFonts w:hint="eastAsia" w:ascii="仿宋_GB2312" w:hAnsi="宋体" w:eastAsia="仿宋_GB2312" w:cs="Microsoft JhengHei"/>
          <w:color w:val="000000"/>
          <w:kern w:val="0"/>
          <w:sz w:val="21"/>
          <w:szCs w:val="21"/>
          <w:lang w:val="en-GB" w:eastAsia="zh-CN" w:bidi="ar-SA"/>
        </w:rPr>
        <w:t>专利产品，均是</w:t>
      </w:r>
      <w:r>
        <w:rPr>
          <w:rFonts w:hint="eastAsia" w:ascii="仿宋_GB2312" w:hAnsi="宋体" w:eastAsia="仿宋_GB2312" w:cs="Microsoft JhengHei"/>
          <w:color w:val="000000"/>
          <w:kern w:val="0"/>
          <w:sz w:val="21"/>
          <w:szCs w:val="21"/>
          <w:lang w:val="en-US" w:eastAsia="zh-CN" w:bidi="ar-SA"/>
        </w:rPr>
        <w:t>属于夹持软性电路板的产品</w:t>
      </w:r>
      <w:r>
        <w:rPr>
          <w:rFonts w:hint="eastAsia" w:ascii="仿宋_GB2312" w:hAnsi="宋体" w:eastAsia="仿宋_GB2312" w:cs="Microsoft JhengHei"/>
          <w:color w:val="000000"/>
          <w:kern w:val="0"/>
          <w:sz w:val="21"/>
          <w:szCs w:val="21"/>
          <w:lang w:val="en-GB" w:eastAsia="zh-CN" w:bidi="ar-SA"/>
        </w:rPr>
        <w:t>，具备比较</w:t>
      </w:r>
      <w:r>
        <w:rPr>
          <w:rFonts w:hint="eastAsia" w:ascii="仿宋_GB2312" w:hAnsi="宋体" w:eastAsia="仿宋_GB2312" w:cs="Microsoft JhengHei"/>
          <w:color w:val="000000"/>
          <w:kern w:val="0"/>
          <w:sz w:val="21"/>
          <w:szCs w:val="21"/>
          <w:lang w:val="en-US" w:eastAsia="zh-CN" w:bidi="ar-SA"/>
        </w:rPr>
        <w:t>设计特征及设计效果的</w:t>
      </w:r>
      <w:r>
        <w:rPr>
          <w:rFonts w:hint="eastAsia" w:ascii="仿宋_GB2312" w:hAnsi="宋体" w:eastAsia="仿宋_GB2312" w:cs="Microsoft JhengHei"/>
          <w:color w:val="000000"/>
          <w:kern w:val="0"/>
          <w:sz w:val="21"/>
          <w:szCs w:val="21"/>
          <w:lang w:val="en-GB" w:eastAsia="zh-CN" w:bidi="ar-SA"/>
        </w:rPr>
        <w:t>前提。</w:t>
      </w:r>
    </w:p>
    <w:p>
      <w:pPr>
        <w:keepNext w:val="0"/>
        <w:keepLines w:val="0"/>
        <w:pageBreakBefore w:val="0"/>
        <w:widowControl/>
        <w:tabs>
          <w:tab w:val="left" w:leader="underscore" w:pos="1947"/>
        </w:tabs>
        <w:kinsoku/>
        <w:overflowPunct/>
        <w:topLinePunct w:val="0"/>
        <w:autoSpaceDE/>
        <w:autoSpaceDN/>
        <w:bidi w:val="0"/>
        <w:adjustRightInd/>
        <w:snapToGrid/>
        <w:spacing w:line="560" w:lineRule="exact"/>
        <w:ind w:firstLine="420" w:firstLineChars="200"/>
        <w:jc w:val="left"/>
        <w:textAlignment w:val="auto"/>
        <w:rPr>
          <w:rFonts w:hint="eastAsia" w:ascii="仿宋_GB2312" w:hAnsi="宋体" w:eastAsia="仿宋_GB2312" w:cs="Microsoft JhengHei"/>
          <w:color w:val="000000"/>
          <w:kern w:val="0"/>
          <w:sz w:val="21"/>
          <w:szCs w:val="21"/>
          <w:lang w:val="en-GB" w:eastAsia="zh-CN" w:bidi="ar-SA"/>
        </w:rPr>
      </w:pPr>
      <w:r>
        <w:rPr>
          <w:rFonts w:hint="eastAsia" w:ascii="仿宋_GB2312" w:hAnsi="宋体" w:eastAsia="仿宋_GB2312" w:cs="Microsoft JhengHei"/>
          <w:color w:val="000000"/>
          <w:kern w:val="0"/>
          <w:sz w:val="21"/>
          <w:szCs w:val="21"/>
          <w:lang w:val="en-US" w:eastAsia="zh-CN" w:bidi="ar-SA"/>
        </w:rPr>
        <w:t>2.实用新型</w:t>
      </w:r>
      <w:r>
        <w:rPr>
          <w:rFonts w:hint="eastAsia" w:ascii="仿宋_GB2312" w:hAnsi="宋体" w:eastAsia="仿宋_GB2312" w:cs="Microsoft JhengHei"/>
          <w:color w:val="000000"/>
          <w:kern w:val="0"/>
          <w:sz w:val="21"/>
          <w:szCs w:val="21"/>
          <w:lang w:val="en-GB" w:eastAsia="zh-CN" w:bidi="ar-SA"/>
        </w:rPr>
        <w:t>专利权保护范围以保护产品的形状、构造、技术方案</w:t>
      </w:r>
      <w:r>
        <w:rPr>
          <w:rFonts w:hint="eastAsia" w:ascii="仿宋_GB2312" w:hAnsi="宋体" w:eastAsia="仿宋_GB2312" w:cs="Microsoft JhengHei"/>
          <w:color w:val="000000"/>
          <w:kern w:val="0"/>
          <w:sz w:val="21"/>
          <w:szCs w:val="21"/>
          <w:lang w:val="en-US" w:eastAsia="zh-CN" w:bidi="ar-SA"/>
        </w:rPr>
        <w:t>等为</w:t>
      </w:r>
      <w:r>
        <w:rPr>
          <w:rFonts w:hint="eastAsia" w:ascii="仿宋_GB2312" w:hAnsi="宋体" w:eastAsia="仿宋_GB2312" w:cs="Microsoft JhengHei"/>
          <w:color w:val="000000"/>
          <w:kern w:val="0"/>
          <w:sz w:val="21"/>
          <w:szCs w:val="21"/>
          <w:lang w:val="en-GB" w:eastAsia="zh-CN" w:bidi="ar-SA"/>
        </w:rPr>
        <w:t xml:space="preserve">准。由于涉案专利（专利号为ZL202123048039.5) </w:t>
      </w:r>
      <w:r>
        <w:rPr>
          <w:rFonts w:hint="eastAsia" w:ascii="仿宋_GB2312" w:hAnsi="宋体" w:eastAsia="仿宋_GB2312" w:cs="Microsoft JhengHei"/>
          <w:color w:val="000000"/>
          <w:kern w:val="0"/>
          <w:sz w:val="21"/>
          <w:szCs w:val="21"/>
          <w:lang w:val="en-US" w:eastAsia="zh-CN" w:bidi="ar-SA"/>
        </w:rPr>
        <w:t>申请保护专利权利要求6的内容</w:t>
      </w:r>
      <w:r>
        <w:rPr>
          <w:rFonts w:hint="eastAsia" w:ascii="仿宋_GB2312" w:hAnsi="宋体" w:eastAsia="仿宋_GB2312" w:cs="Microsoft JhengHei"/>
          <w:color w:val="000000"/>
          <w:kern w:val="0"/>
          <w:sz w:val="21"/>
          <w:szCs w:val="21"/>
          <w:lang w:val="en-GB" w:eastAsia="zh-CN" w:bidi="ar-SA"/>
        </w:rPr>
        <w:t>，因此，本专利保护范围为</w:t>
      </w:r>
      <w:r>
        <w:rPr>
          <w:rFonts w:hint="eastAsia" w:ascii="仿宋_GB2312" w:hAnsi="宋体" w:eastAsia="仿宋_GB2312" w:cs="Microsoft JhengHei"/>
          <w:color w:val="000000"/>
          <w:kern w:val="0"/>
          <w:sz w:val="21"/>
          <w:szCs w:val="21"/>
          <w:lang w:val="en-US" w:eastAsia="zh-CN" w:bidi="ar-SA"/>
        </w:rPr>
        <w:t>产品</w:t>
      </w:r>
      <w:r>
        <w:rPr>
          <w:rFonts w:hint="eastAsia" w:ascii="仿宋_GB2312" w:hAnsi="宋体" w:eastAsia="仿宋_GB2312" w:cs="Microsoft JhengHei"/>
          <w:color w:val="000000"/>
          <w:kern w:val="0"/>
          <w:sz w:val="21"/>
          <w:szCs w:val="21"/>
          <w:lang w:val="en-GB" w:eastAsia="zh-CN" w:bidi="ar-SA"/>
        </w:rPr>
        <w:t>形状、构造、技术方案。</w:t>
      </w:r>
    </w:p>
    <w:p>
      <w:pPr>
        <w:keepNext w:val="0"/>
        <w:keepLines w:val="0"/>
        <w:pageBreakBefore w:val="0"/>
        <w:widowControl/>
        <w:numPr>
          <w:ilvl w:val="0"/>
          <w:numId w:val="0"/>
        </w:numPr>
        <w:tabs>
          <w:tab w:val="left" w:leader="underscore" w:pos="1947"/>
        </w:tabs>
        <w:kinsoku/>
        <w:overflowPunct/>
        <w:topLinePunct w:val="0"/>
        <w:autoSpaceDE/>
        <w:autoSpaceDN/>
        <w:bidi w:val="0"/>
        <w:adjustRightInd/>
        <w:snapToGrid/>
        <w:spacing w:line="560" w:lineRule="exact"/>
        <w:ind w:firstLine="420" w:firstLineChars="200"/>
        <w:jc w:val="left"/>
        <w:textAlignment w:val="auto"/>
        <w:rPr>
          <w:rFonts w:hint="eastAsia" w:ascii="仿宋_GB2312" w:hAnsi="宋体" w:eastAsia="仿宋_GB2312" w:cs="Microsoft JhengHei"/>
          <w:color w:val="000000"/>
          <w:kern w:val="0"/>
          <w:sz w:val="21"/>
          <w:szCs w:val="21"/>
          <w:lang w:val="en-US" w:eastAsia="zh-CN" w:bidi="ar-SA"/>
        </w:rPr>
      </w:pPr>
      <w:r>
        <w:rPr>
          <w:rFonts w:hint="eastAsia" w:ascii="仿宋_GB2312" w:hAnsi="宋体" w:eastAsia="仿宋_GB2312" w:cs="Microsoft JhengHei"/>
          <w:color w:val="000000"/>
          <w:kern w:val="0"/>
          <w:sz w:val="21"/>
          <w:szCs w:val="21"/>
          <w:lang w:val="en-US" w:eastAsia="zh-CN" w:bidi="ar-SA"/>
        </w:rPr>
        <w:t>3.</w:t>
      </w:r>
      <w:r>
        <w:rPr>
          <w:rFonts w:hint="eastAsia" w:ascii="仿宋_GB2312" w:hAnsi="宋体" w:eastAsia="仿宋_GB2312" w:cs="Microsoft JhengHei"/>
          <w:color w:val="000000"/>
          <w:kern w:val="0"/>
          <w:sz w:val="21"/>
          <w:szCs w:val="21"/>
          <w:lang w:val="en-GB" w:eastAsia="zh-CN" w:bidi="ar-SA"/>
        </w:rPr>
        <w:t>根据国家知识产权局出具的涉案</w:t>
      </w:r>
      <w:r>
        <w:rPr>
          <w:rFonts w:hint="eastAsia" w:ascii="仿宋_GB2312" w:hAnsi="宋体" w:eastAsia="仿宋_GB2312" w:cs="Microsoft JhengHei"/>
          <w:color w:val="000000"/>
          <w:kern w:val="0"/>
          <w:sz w:val="21"/>
          <w:szCs w:val="21"/>
          <w:lang w:val="en-US" w:eastAsia="zh-CN" w:bidi="ar-SA"/>
        </w:rPr>
        <w:t>实用新型</w:t>
      </w:r>
      <w:r>
        <w:rPr>
          <w:rFonts w:hint="eastAsia" w:ascii="仿宋_GB2312" w:hAnsi="宋体" w:eastAsia="仿宋_GB2312" w:cs="Microsoft JhengHei"/>
          <w:color w:val="000000"/>
          <w:kern w:val="0"/>
          <w:sz w:val="21"/>
          <w:szCs w:val="21"/>
          <w:lang w:val="en-GB" w:eastAsia="zh-CN" w:bidi="ar-SA"/>
        </w:rPr>
        <w:t>专利权评价报告、其他案卷资料可知涉案</w:t>
      </w:r>
      <w:r>
        <w:rPr>
          <w:rFonts w:hint="eastAsia" w:ascii="仿宋_GB2312" w:hAnsi="宋体" w:eastAsia="仿宋_GB2312" w:cs="Microsoft JhengHei"/>
          <w:color w:val="000000"/>
          <w:kern w:val="0"/>
          <w:sz w:val="21"/>
          <w:szCs w:val="21"/>
          <w:lang w:val="en-US" w:eastAsia="zh-CN" w:bidi="ar-SA"/>
        </w:rPr>
        <w:t>实用新型设计</w:t>
      </w:r>
      <w:r>
        <w:rPr>
          <w:rFonts w:hint="eastAsia" w:ascii="仿宋_GB2312" w:hAnsi="宋体" w:eastAsia="仿宋_GB2312" w:cs="Microsoft JhengHei"/>
          <w:color w:val="000000"/>
          <w:kern w:val="0"/>
          <w:sz w:val="21"/>
          <w:szCs w:val="21"/>
          <w:lang w:val="en-GB" w:eastAsia="zh-CN" w:bidi="ar-SA"/>
        </w:rPr>
        <w:t>区别于现有设计的特征设计，</w:t>
      </w:r>
      <w:r>
        <w:rPr>
          <w:rFonts w:hint="eastAsia" w:ascii="仿宋_GB2312" w:hAnsi="宋体" w:eastAsia="仿宋_GB2312" w:cs="Microsoft JhengHei"/>
          <w:color w:val="000000"/>
          <w:kern w:val="0"/>
          <w:sz w:val="21"/>
          <w:szCs w:val="21"/>
          <w:lang w:val="en-US" w:eastAsia="zh-CN" w:bidi="ar-SA"/>
        </w:rPr>
        <w:t>具备新颖性和创造性，请求人所诉权利要求6的特征在于安装板上开设有移动槽与移动块，所述移动块上安装有压合件及控制件，移动块可移动并设置于移动槽上，以带动安装在所述移动块上的所述压合件和控制件沿所述移动槽移动，可实现适配于自动化生产线的技术效果。</w:t>
      </w:r>
    </w:p>
    <w:p>
      <w:pPr>
        <w:keepNext w:val="0"/>
        <w:keepLines w:val="0"/>
        <w:pageBreakBefore w:val="0"/>
        <w:widowControl/>
        <w:numPr>
          <w:ilvl w:val="0"/>
          <w:numId w:val="0"/>
        </w:numPr>
        <w:tabs>
          <w:tab w:val="left" w:leader="underscore" w:pos="1947"/>
        </w:tabs>
        <w:kinsoku/>
        <w:overflowPunct/>
        <w:topLinePunct w:val="0"/>
        <w:autoSpaceDE/>
        <w:autoSpaceDN/>
        <w:bidi w:val="0"/>
        <w:adjustRightInd/>
        <w:snapToGrid/>
        <w:spacing w:line="560" w:lineRule="exact"/>
        <w:ind w:firstLine="420" w:firstLineChars="200"/>
        <w:jc w:val="left"/>
        <w:textAlignment w:val="auto"/>
        <w:rPr>
          <w:rFonts w:hint="eastAsia" w:ascii="仿宋_GB2312" w:hAnsi="宋体" w:eastAsia="仿宋_GB2312" w:cs="Microsoft JhengHei"/>
          <w:color w:val="000000"/>
          <w:kern w:val="0"/>
          <w:sz w:val="21"/>
          <w:szCs w:val="21"/>
          <w:lang w:val="en-US" w:eastAsia="zh-CN" w:bidi="ar-SA"/>
        </w:rPr>
      </w:pPr>
      <w:r>
        <w:rPr>
          <w:rFonts w:hint="eastAsia" w:ascii="仿宋_GB2312" w:hAnsi="宋体" w:eastAsia="仿宋_GB2312" w:cs="Microsoft JhengHei"/>
          <w:color w:val="000000"/>
          <w:kern w:val="0"/>
          <w:sz w:val="21"/>
          <w:szCs w:val="21"/>
          <w:lang w:val="en-US" w:eastAsia="zh-CN" w:bidi="ar-SA"/>
        </w:rPr>
        <w:t>通过对比被控侵权产品与本案专利产品，可发现两者均为矩形，具备相似的形状、安装板及夹持组件，被控侵权产品压合件位于第一表面所在一侧，控制件位于第二表面所在一侧并外露于第二表面，控制件能控制压合件远离或靠近第一表面，被控侵权产品具有与本案专利产品相似的移动槽、移动块、压合件及控制件，即具备相似构造，被控侵权产品能够实现移动块带动压合件及控制件在移动槽内移动的功能，可实现请求人所诉权利要求6发技术效果，具体对比情况如下：</w:t>
      </w:r>
    </w:p>
    <w:p>
      <w:pPr>
        <w:keepNext w:val="0"/>
        <w:keepLines w:val="0"/>
        <w:pageBreakBefore w:val="0"/>
        <w:widowControl/>
        <w:numPr>
          <w:ilvl w:val="0"/>
          <w:numId w:val="0"/>
        </w:numPr>
        <w:tabs>
          <w:tab w:val="left" w:leader="underscore" w:pos="1947"/>
        </w:tabs>
        <w:kinsoku/>
        <w:overflowPunct/>
        <w:topLinePunct w:val="0"/>
        <w:autoSpaceDE/>
        <w:autoSpaceDN/>
        <w:bidi w:val="0"/>
        <w:adjustRightInd/>
        <w:snapToGrid/>
        <w:spacing w:line="560" w:lineRule="exact"/>
        <w:ind w:firstLine="420" w:firstLineChars="200"/>
        <w:jc w:val="left"/>
        <w:textAlignment w:val="auto"/>
        <w:rPr>
          <w:rFonts w:hint="eastAsia" w:ascii="仿宋_GB2312" w:hAnsi="宋体" w:eastAsia="仿宋_GB2312" w:cs="Microsoft JhengHei"/>
          <w:color w:val="000000"/>
          <w:kern w:val="0"/>
          <w:sz w:val="21"/>
          <w:szCs w:val="21"/>
          <w:lang w:val="en-US" w:eastAsia="zh-CN" w:bidi="ar-SA"/>
        </w:rPr>
      </w:pPr>
    </w:p>
    <w:p>
      <w:pPr>
        <w:keepNext w:val="0"/>
        <w:keepLines w:val="0"/>
        <w:pageBreakBefore w:val="0"/>
        <w:widowControl/>
        <w:numPr>
          <w:ilvl w:val="0"/>
          <w:numId w:val="0"/>
        </w:numPr>
        <w:tabs>
          <w:tab w:val="left" w:leader="underscore" w:pos="1947"/>
        </w:tabs>
        <w:kinsoku/>
        <w:overflowPunct/>
        <w:topLinePunct w:val="0"/>
        <w:autoSpaceDE/>
        <w:autoSpaceDN/>
        <w:bidi w:val="0"/>
        <w:adjustRightInd/>
        <w:snapToGrid/>
        <w:spacing w:line="560" w:lineRule="exact"/>
        <w:ind w:firstLine="420" w:firstLineChars="200"/>
        <w:jc w:val="left"/>
        <w:textAlignment w:val="auto"/>
        <w:rPr>
          <w:rFonts w:hint="eastAsia" w:ascii="仿宋_GB2312" w:hAnsi="宋体" w:eastAsia="仿宋_GB2312" w:cs="Microsoft JhengHei"/>
          <w:color w:val="000000"/>
          <w:kern w:val="0"/>
          <w:sz w:val="21"/>
          <w:szCs w:val="21"/>
          <w:lang w:val="en-US" w:eastAsia="zh-CN" w:bidi="ar-SA"/>
        </w:rPr>
      </w:pPr>
    </w:p>
    <w:p>
      <w:pPr>
        <w:keepNext w:val="0"/>
        <w:keepLines w:val="0"/>
        <w:pageBreakBefore w:val="0"/>
        <w:widowControl/>
        <w:numPr>
          <w:ilvl w:val="0"/>
          <w:numId w:val="0"/>
        </w:numPr>
        <w:tabs>
          <w:tab w:val="left" w:leader="underscore" w:pos="1947"/>
        </w:tabs>
        <w:kinsoku/>
        <w:overflowPunct/>
        <w:topLinePunct w:val="0"/>
        <w:autoSpaceDE/>
        <w:autoSpaceDN/>
        <w:bidi w:val="0"/>
        <w:adjustRightInd/>
        <w:snapToGrid/>
        <w:spacing w:line="560" w:lineRule="exact"/>
        <w:ind w:firstLine="420" w:firstLineChars="200"/>
        <w:jc w:val="left"/>
        <w:textAlignment w:val="auto"/>
        <w:rPr>
          <w:rFonts w:hint="eastAsia" w:ascii="仿宋_GB2312" w:hAnsi="宋体" w:eastAsia="仿宋_GB2312" w:cs="Microsoft JhengHei"/>
          <w:color w:val="000000"/>
          <w:kern w:val="0"/>
          <w:sz w:val="21"/>
          <w:szCs w:val="21"/>
          <w:lang w:val="en-US" w:eastAsia="zh-CN" w:bidi="ar-SA"/>
        </w:rPr>
      </w:pP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56"/>
        <w:gridCol w:w="2778"/>
        <w:gridCol w:w="28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56" w:type="dxa"/>
          </w:tcPr>
          <w:p>
            <w:pPr>
              <w:keepNext w:val="0"/>
              <w:keepLines w:val="0"/>
              <w:pageBreakBefore w:val="0"/>
              <w:widowControl/>
              <w:numPr>
                <w:ilvl w:val="0"/>
                <w:numId w:val="0"/>
              </w:numPr>
              <w:tabs>
                <w:tab w:val="left" w:leader="underscore" w:pos="1947"/>
              </w:tabs>
              <w:kinsoku/>
              <w:overflowPunct/>
              <w:topLinePunct w:val="0"/>
              <w:autoSpaceDE/>
              <w:autoSpaceDN/>
              <w:bidi w:val="0"/>
              <w:adjustRightInd/>
              <w:snapToGrid/>
              <w:spacing w:line="560" w:lineRule="exact"/>
              <w:jc w:val="center"/>
              <w:textAlignment w:val="auto"/>
              <w:rPr>
                <w:rFonts w:hint="eastAsia" w:ascii="仿宋_GB2312" w:hAnsi="宋体" w:eastAsia="仿宋_GB2312" w:cs="Microsoft JhengHei"/>
                <w:color w:val="000000"/>
                <w:kern w:val="0"/>
                <w:sz w:val="21"/>
                <w:szCs w:val="21"/>
                <w:lang w:val="en-US" w:eastAsia="zh-CN" w:bidi="ar-SA"/>
              </w:rPr>
            </w:pPr>
            <w:r>
              <w:rPr>
                <w:rFonts w:hint="eastAsia" w:ascii="仿宋_GB2312" w:hAnsi="宋体" w:eastAsia="仿宋_GB2312" w:cs="Microsoft JhengHei"/>
                <w:color w:val="000000"/>
                <w:kern w:val="0"/>
                <w:sz w:val="21"/>
                <w:szCs w:val="21"/>
                <w:lang w:val="en-US" w:eastAsia="zh-CN" w:bidi="ar-SA"/>
              </w:rPr>
              <w:t>本案专利</w:t>
            </w:r>
          </w:p>
        </w:tc>
        <w:tc>
          <w:tcPr>
            <w:tcW w:w="2778" w:type="dxa"/>
          </w:tcPr>
          <w:p>
            <w:pPr>
              <w:keepNext w:val="0"/>
              <w:keepLines w:val="0"/>
              <w:pageBreakBefore w:val="0"/>
              <w:widowControl/>
              <w:numPr>
                <w:ilvl w:val="0"/>
                <w:numId w:val="0"/>
              </w:numPr>
              <w:tabs>
                <w:tab w:val="left" w:leader="underscore" w:pos="1947"/>
              </w:tabs>
              <w:kinsoku/>
              <w:overflowPunct/>
              <w:topLinePunct w:val="0"/>
              <w:autoSpaceDE/>
              <w:autoSpaceDN/>
              <w:bidi w:val="0"/>
              <w:adjustRightInd/>
              <w:snapToGrid/>
              <w:spacing w:line="560" w:lineRule="exact"/>
              <w:jc w:val="center"/>
              <w:textAlignment w:val="auto"/>
              <w:rPr>
                <w:rFonts w:hint="eastAsia" w:ascii="仿宋_GB2312" w:hAnsi="宋体" w:eastAsia="仿宋_GB2312" w:cs="Microsoft JhengHei"/>
                <w:color w:val="000000"/>
                <w:kern w:val="0"/>
                <w:sz w:val="21"/>
                <w:szCs w:val="21"/>
                <w:lang w:val="en-US" w:eastAsia="zh-CN" w:bidi="ar-SA"/>
              </w:rPr>
            </w:pPr>
            <w:r>
              <w:rPr>
                <w:rFonts w:hint="eastAsia" w:ascii="仿宋_GB2312" w:hAnsi="宋体" w:eastAsia="仿宋_GB2312" w:cs="Microsoft JhengHei"/>
                <w:color w:val="000000"/>
                <w:kern w:val="0"/>
                <w:sz w:val="21"/>
                <w:szCs w:val="21"/>
                <w:lang w:val="en-US" w:eastAsia="zh-CN" w:bidi="ar-SA"/>
              </w:rPr>
              <w:t>被控产品</w:t>
            </w:r>
          </w:p>
        </w:tc>
        <w:tc>
          <w:tcPr>
            <w:tcW w:w="2888" w:type="dxa"/>
          </w:tcPr>
          <w:p>
            <w:pPr>
              <w:keepNext w:val="0"/>
              <w:keepLines w:val="0"/>
              <w:pageBreakBefore w:val="0"/>
              <w:widowControl/>
              <w:numPr>
                <w:ilvl w:val="0"/>
                <w:numId w:val="0"/>
              </w:numPr>
              <w:tabs>
                <w:tab w:val="left" w:leader="underscore" w:pos="1947"/>
              </w:tabs>
              <w:kinsoku/>
              <w:overflowPunct/>
              <w:topLinePunct w:val="0"/>
              <w:autoSpaceDE/>
              <w:autoSpaceDN/>
              <w:bidi w:val="0"/>
              <w:adjustRightInd/>
              <w:snapToGrid/>
              <w:spacing w:line="560" w:lineRule="exact"/>
              <w:jc w:val="center"/>
              <w:textAlignment w:val="auto"/>
              <w:rPr>
                <w:rFonts w:hint="eastAsia" w:ascii="仿宋_GB2312" w:hAnsi="宋体" w:eastAsia="仿宋_GB2312" w:cs="Microsoft JhengHei"/>
                <w:color w:val="000000"/>
                <w:kern w:val="0"/>
                <w:sz w:val="21"/>
                <w:szCs w:val="21"/>
                <w:lang w:val="en-US" w:eastAsia="zh-CN" w:bidi="ar-SA"/>
              </w:rPr>
            </w:pPr>
            <w:r>
              <w:rPr>
                <w:rFonts w:hint="eastAsia" w:ascii="仿宋_GB2312" w:hAnsi="宋体" w:eastAsia="仿宋_GB2312" w:cs="Microsoft JhengHei"/>
                <w:color w:val="000000"/>
                <w:kern w:val="0"/>
                <w:sz w:val="21"/>
                <w:szCs w:val="21"/>
                <w:lang w:val="en-US" w:eastAsia="zh-CN" w:bidi="ar-SA"/>
              </w:rPr>
              <w:t>比对意见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56" w:type="dxa"/>
          </w:tcPr>
          <w:p>
            <w:pPr>
              <w:keepNext w:val="0"/>
              <w:keepLines w:val="0"/>
              <w:pageBreakBefore w:val="0"/>
              <w:widowControl/>
              <w:numPr>
                <w:ilvl w:val="0"/>
                <w:numId w:val="0"/>
              </w:numPr>
              <w:tabs>
                <w:tab w:val="left" w:leader="underscore" w:pos="1947"/>
              </w:tabs>
              <w:kinsoku/>
              <w:overflowPunct/>
              <w:topLinePunct w:val="0"/>
              <w:autoSpaceDE/>
              <w:autoSpaceDN/>
              <w:bidi w:val="0"/>
              <w:adjustRightInd/>
              <w:snapToGrid/>
              <w:spacing w:line="560" w:lineRule="exact"/>
              <w:jc w:val="left"/>
              <w:textAlignment w:val="auto"/>
              <w:rPr>
                <w:rFonts w:hint="eastAsia" w:ascii="仿宋_GB2312" w:hAnsi="宋体" w:eastAsia="仿宋_GB2312" w:cs="Microsoft JhengHei"/>
                <w:color w:val="000000"/>
                <w:kern w:val="0"/>
                <w:sz w:val="21"/>
                <w:szCs w:val="21"/>
                <w:lang w:val="en-US" w:eastAsia="zh-CN" w:bidi="ar-SA"/>
              </w:rPr>
            </w:pPr>
            <w:r>
              <w:rPr>
                <w:rFonts w:hint="eastAsia" w:ascii="仿宋_GB2312" w:hAnsi="宋体" w:eastAsia="仿宋_GB2312" w:cs="Microsoft JhengHei"/>
                <w:color w:val="000000"/>
                <w:kern w:val="0"/>
                <w:sz w:val="21"/>
                <w:szCs w:val="21"/>
                <w:lang w:val="en-GB" w:eastAsia="zh-CN" w:bidi="ar-SA"/>
              </w:rPr>
              <w:drawing>
                <wp:anchor distT="0" distB="0" distL="114300" distR="114300" simplePos="0" relativeHeight="251659264" behindDoc="1" locked="0" layoutInCell="1" allowOverlap="1">
                  <wp:simplePos x="0" y="0"/>
                  <wp:positionH relativeFrom="column">
                    <wp:posOffset>19050</wp:posOffset>
                  </wp:positionH>
                  <wp:positionV relativeFrom="paragraph">
                    <wp:posOffset>119380</wp:posOffset>
                  </wp:positionV>
                  <wp:extent cx="1660525" cy="2279650"/>
                  <wp:effectExtent l="0" t="0" r="15875" b="6350"/>
                  <wp:wrapTight wrapText="bothSides">
                    <wp:wrapPolygon>
                      <wp:start x="0" y="0"/>
                      <wp:lineTo x="0" y="21480"/>
                      <wp:lineTo x="21311" y="21480"/>
                      <wp:lineTo x="21311" y="0"/>
                      <wp:lineTo x="0" y="0"/>
                    </wp:wrapPolygon>
                  </wp:wrapTight>
                  <wp:docPr id="4" name="图片 4" descr="1687833179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687833179667"/>
                          <pic:cNvPicPr>
                            <a:picLocks noChangeAspect="1"/>
                          </pic:cNvPicPr>
                        </pic:nvPicPr>
                        <pic:blipFill>
                          <a:blip r:embed="rId4"/>
                          <a:stretch>
                            <a:fillRect/>
                          </a:stretch>
                        </pic:blipFill>
                        <pic:spPr>
                          <a:xfrm>
                            <a:off x="0" y="0"/>
                            <a:ext cx="1660525" cy="2279650"/>
                          </a:xfrm>
                          <a:prstGeom prst="rect">
                            <a:avLst/>
                          </a:prstGeom>
                        </pic:spPr>
                      </pic:pic>
                    </a:graphicData>
                  </a:graphic>
                </wp:anchor>
              </w:drawing>
            </w:r>
          </w:p>
        </w:tc>
        <w:tc>
          <w:tcPr>
            <w:tcW w:w="2778" w:type="dxa"/>
          </w:tcPr>
          <w:p>
            <w:pPr>
              <w:keepNext w:val="0"/>
              <w:keepLines w:val="0"/>
              <w:pageBreakBefore w:val="0"/>
              <w:widowControl/>
              <w:numPr>
                <w:ilvl w:val="0"/>
                <w:numId w:val="0"/>
              </w:numPr>
              <w:tabs>
                <w:tab w:val="left" w:leader="underscore" w:pos="1947"/>
              </w:tabs>
              <w:kinsoku/>
              <w:overflowPunct/>
              <w:topLinePunct w:val="0"/>
              <w:autoSpaceDE/>
              <w:autoSpaceDN/>
              <w:bidi w:val="0"/>
              <w:adjustRightInd/>
              <w:snapToGrid/>
              <w:spacing w:line="560" w:lineRule="exact"/>
              <w:jc w:val="left"/>
              <w:textAlignment w:val="auto"/>
              <w:rPr>
                <w:rFonts w:hint="eastAsia" w:ascii="仿宋_GB2312" w:hAnsi="宋体" w:eastAsia="仿宋_GB2312" w:cs="Microsoft JhengHei"/>
                <w:color w:val="000000"/>
                <w:kern w:val="0"/>
                <w:sz w:val="21"/>
                <w:szCs w:val="21"/>
                <w:lang w:val="en-US" w:eastAsia="zh-CN" w:bidi="ar-SA"/>
              </w:rPr>
            </w:pPr>
            <w:r>
              <w:rPr>
                <w:rFonts w:hint="eastAsia" w:ascii="仿宋_GB2312" w:hAnsi="宋体" w:eastAsia="仿宋_GB2312" w:cs="Microsoft JhengHei"/>
                <w:color w:val="000000"/>
                <w:kern w:val="0"/>
                <w:sz w:val="21"/>
                <w:szCs w:val="21"/>
                <w:lang w:val="en-GB" w:eastAsia="zh-CN" w:bidi="ar-SA"/>
              </w:rPr>
              <w:drawing>
                <wp:anchor distT="0" distB="0" distL="114300" distR="114300" simplePos="0" relativeHeight="251660288" behindDoc="0" locked="0" layoutInCell="1" allowOverlap="1">
                  <wp:simplePos x="0" y="0"/>
                  <wp:positionH relativeFrom="column">
                    <wp:posOffset>-313690</wp:posOffset>
                  </wp:positionH>
                  <wp:positionV relativeFrom="paragraph">
                    <wp:posOffset>526415</wp:posOffset>
                  </wp:positionV>
                  <wp:extent cx="2225040" cy="1388110"/>
                  <wp:effectExtent l="0" t="0" r="2540" b="3810"/>
                  <wp:wrapTopAndBottom/>
                  <wp:docPr id="2" name="图片 2" descr="1687833149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687833149565"/>
                          <pic:cNvPicPr>
                            <a:picLocks noChangeAspect="1"/>
                          </pic:cNvPicPr>
                        </pic:nvPicPr>
                        <pic:blipFill>
                          <a:blip r:embed="rId5"/>
                          <a:stretch>
                            <a:fillRect/>
                          </a:stretch>
                        </pic:blipFill>
                        <pic:spPr>
                          <a:xfrm rot="5400000">
                            <a:off x="0" y="0"/>
                            <a:ext cx="2225040" cy="1388110"/>
                          </a:xfrm>
                          <a:prstGeom prst="rect">
                            <a:avLst/>
                          </a:prstGeom>
                        </pic:spPr>
                      </pic:pic>
                    </a:graphicData>
                  </a:graphic>
                </wp:anchor>
              </w:drawing>
            </w:r>
          </w:p>
        </w:tc>
        <w:tc>
          <w:tcPr>
            <w:tcW w:w="2888" w:type="dxa"/>
          </w:tcPr>
          <w:p>
            <w:pPr>
              <w:keepNext w:val="0"/>
              <w:keepLines w:val="0"/>
              <w:pageBreakBefore w:val="0"/>
              <w:widowControl/>
              <w:numPr>
                <w:ilvl w:val="0"/>
                <w:numId w:val="0"/>
              </w:numPr>
              <w:tabs>
                <w:tab w:val="left" w:leader="underscore" w:pos="1947"/>
              </w:tabs>
              <w:kinsoku/>
              <w:overflowPunct/>
              <w:topLinePunct w:val="0"/>
              <w:autoSpaceDE/>
              <w:autoSpaceDN/>
              <w:bidi w:val="0"/>
              <w:adjustRightInd/>
              <w:snapToGrid/>
              <w:spacing w:line="560" w:lineRule="exact"/>
              <w:jc w:val="left"/>
              <w:textAlignment w:val="auto"/>
              <w:rPr>
                <w:rFonts w:hint="eastAsia" w:ascii="仿宋_GB2312" w:hAnsi="宋体" w:eastAsia="仿宋_GB2312" w:cs="Microsoft JhengHei"/>
                <w:color w:val="000000"/>
                <w:kern w:val="0"/>
                <w:sz w:val="21"/>
                <w:szCs w:val="21"/>
                <w:lang w:val="en-US" w:eastAsia="zh-CN" w:bidi="ar-SA"/>
              </w:rPr>
            </w:pPr>
            <w:r>
              <w:rPr>
                <w:rFonts w:hint="eastAsia" w:ascii="仿宋_GB2312" w:hAnsi="宋体" w:eastAsia="仿宋_GB2312" w:cs="Microsoft JhengHei"/>
                <w:color w:val="000000"/>
                <w:kern w:val="0"/>
                <w:sz w:val="21"/>
                <w:szCs w:val="21"/>
                <w:lang w:val="en-US" w:eastAsia="zh-CN" w:bidi="ar-SA"/>
              </w:rPr>
              <w:t>1.被控侵权产品具备与本案专利产品相似安装板及夹持组件，为夹持治具。2.被控侵权产品压合件位于第一表面所在一侧，控制件位于第二表面所在一侧并外露于第二表面，控制件能控制压合件远离或靠近第一表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56" w:type="dxa"/>
          </w:tcPr>
          <w:p>
            <w:pPr>
              <w:keepNext w:val="0"/>
              <w:keepLines w:val="0"/>
              <w:pageBreakBefore w:val="0"/>
              <w:widowControl/>
              <w:numPr>
                <w:ilvl w:val="0"/>
                <w:numId w:val="0"/>
              </w:numPr>
              <w:tabs>
                <w:tab w:val="left" w:leader="underscore" w:pos="1947"/>
              </w:tabs>
              <w:kinsoku/>
              <w:overflowPunct/>
              <w:topLinePunct w:val="0"/>
              <w:autoSpaceDE/>
              <w:autoSpaceDN/>
              <w:bidi w:val="0"/>
              <w:adjustRightInd/>
              <w:snapToGrid/>
              <w:spacing w:line="560" w:lineRule="exact"/>
              <w:jc w:val="left"/>
              <w:textAlignment w:val="auto"/>
              <w:rPr>
                <w:rFonts w:hint="eastAsia" w:ascii="仿宋_GB2312" w:hAnsi="宋体" w:eastAsia="仿宋_GB2312" w:cs="Microsoft JhengHei"/>
                <w:color w:val="000000"/>
                <w:kern w:val="0"/>
                <w:sz w:val="21"/>
                <w:szCs w:val="21"/>
                <w:lang w:val="en-US" w:eastAsia="zh-CN" w:bidi="ar-SA"/>
              </w:rPr>
            </w:pPr>
            <w:r>
              <w:rPr>
                <w:rFonts w:hint="eastAsia" w:ascii="仿宋_GB2312" w:hAnsi="宋体" w:eastAsia="仿宋_GB2312" w:cs="Microsoft JhengHei"/>
                <w:color w:val="000000"/>
                <w:kern w:val="0"/>
                <w:sz w:val="21"/>
                <w:szCs w:val="21"/>
                <w:lang w:val="en-GB" w:eastAsia="zh-CN" w:bidi="ar-SA"/>
              </w:rPr>
              <w:drawing>
                <wp:anchor distT="0" distB="0" distL="114300" distR="114300" simplePos="0" relativeHeight="251661312" behindDoc="0" locked="0" layoutInCell="1" allowOverlap="1">
                  <wp:simplePos x="0" y="0"/>
                  <wp:positionH relativeFrom="column">
                    <wp:posOffset>0</wp:posOffset>
                  </wp:positionH>
                  <wp:positionV relativeFrom="paragraph">
                    <wp:posOffset>-2515870</wp:posOffset>
                  </wp:positionV>
                  <wp:extent cx="1659255" cy="2783205"/>
                  <wp:effectExtent l="0" t="0" r="17145" b="17145"/>
                  <wp:wrapSquare wrapText="bothSides"/>
                  <wp:docPr id="5" name="图片 5" descr="1687833468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687833468729"/>
                          <pic:cNvPicPr>
                            <a:picLocks noChangeAspect="1"/>
                          </pic:cNvPicPr>
                        </pic:nvPicPr>
                        <pic:blipFill>
                          <a:blip r:embed="rId6"/>
                          <a:stretch>
                            <a:fillRect/>
                          </a:stretch>
                        </pic:blipFill>
                        <pic:spPr>
                          <a:xfrm>
                            <a:off x="0" y="0"/>
                            <a:ext cx="1659255" cy="2783205"/>
                          </a:xfrm>
                          <a:prstGeom prst="rect">
                            <a:avLst/>
                          </a:prstGeom>
                        </pic:spPr>
                      </pic:pic>
                    </a:graphicData>
                  </a:graphic>
                </wp:anchor>
              </w:drawing>
            </w:r>
          </w:p>
        </w:tc>
        <w:tc>
          <w:tcPr>
            <w:tcW w:w="2778" w:type="dxa"/>
          </w:tcPr>
          <w:p>
            <w:pPr>
              <w:keepNext w:val="0"/>
              <w:keepLines w:val="0"/>
              <w:pageBreakBefore w:val="0"/>
              <w:widowControl/>
              <w:numPr>
                <w:ilvl w:val="0"/>
                <w:numId w:val="0"/>
              </w:numPr>
              <w:tabs>
                <w:tab w:val="left" w:leader="underscore" w:pos="1947"/>
              </w:tabs>
              <w:kinsoku/>
              <w:overflowPunct/>
              <w:topLinePunct w:val="0"/>
              <w:autoSpaceDE/>
              <w:autoSpaceDN/>
              <w:bidi w:val="0"/>
              <w:adjustRightInd/>
              <w:snapToGrid/>
              <w:spacing w:line="560" w:lineRule="exact"/>
              <w:jc w:val="left"/>
              <w:textAlignment w:val="auto"/>
              <w:rPr>
                <w:rFonts w:hint="eastAsia" w:ascii="仿宋_GB2312" w:hAnsi="宋体" w:eastAsia="仿宋_GB2312" w:cs="Microsoft JhengHei"/>
                <w:color w:val="000000"/>
                <w:kern w:val="0"/>
                <w:sz w:val="21"/>
                <w:szCs w:val="21"/>
                <w:lang w:val="en-US" w:eastAsia="zh-CN" w:bidi="ar-SA"/>
              </w:rPr>
            </w:pPr>
            <w:r>
              <w:rPr>
                <w:rFonts w:hint="eastAsia" w:ascii="仿宋_GB2312" w:hAnsi="宋体" w:eastAsia="仿宋_GB2312" w:cs="Microsoft JhengHei"/>
                <w:color w:val="000000"/>
                <w:kern w:val="0"/>
                <w:sz w:val="21"/>
                <w:szCs w:val="21"/>
                <w:lang w:val="en-GB" w:eastAsia="zh-CN" w:bidi="ar-SA"/>
              </w:rPr>
              <w:drawing>
                <wp:anchor distT="0" distB="0" distL="114300" distR="114300" simplePos="0" relativeHeight="251662336" behindDoc="0" locked="0" layoutInCell="1" allowOverlap="1">
                  <wp:simplePos x="0" y="0"/>
                  <wp:positionH relativeFrom="column">
                    <wp:posOffset>-450850</wp:posOffset>
                  </wp:positionH>
                  <wp:positionV relativeFrom="paragraph">
                    <wp:posOffset>-1779270</wp:posOffset>
                  </wp:positionV>
                  <wp:extent cx="2505075" cy="1603375"/>
                  <wp:effectExtent l="0" t="0" r="15875" b="9525"/>
                  <wp:wrapSquare wrapText="bothSides"/>
                  <wp:docPr id="6" name="图片 6" descr="1687833489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687833489481"/>
                          <pic:cNvPicPr>
                            <a:picLocks noChangeAspect="1"/>
                          </pic:cNvPicPr>
                        </pic:nvPicPr>
                        <pic:blipFill>
                          <a:blip r:embed="rId7"/>
                          <a:stretch>
                            <a:fillRect/>
                          </a:stretch>
                        </pic:blipFill>
                        <pic:spPr>
                          <a:xfrm rot="5400000">
                            <a:off x="0" y="0"/>
                            <a:ext cx="2505075" cy="1603375"/>
                          </a:xfrm>
                          <a:prstGeom prst="rect">
                            <a:avLst/>
                          </a:prstGeom>
                        </pic:spPr>
                      </pic:pic>
                    </a:graphicData>
                  </a:graphic>
                </wp:anchor>
              </w:drawing>
            </w:r>
          </w:p>
        </w:tc>
        <w:tc>
          <w:tcPr>
            <w:tcW w:w="2888" w:type="dxa"/>
          </w:tcPr>
          <w:p>
            <w:pPr>
              <w:keepNext w:val="0"/>
              <w:keepLines w:val="0"/>
              <w:pageBreakBefore w:val="0"/>
              <w:widowControl/>
              <w:numPr>
                <w:ilvl w:val="0"/>
                <w:numId w:val="0"/>
              </w:numPr>
              <w:tabs>
                <w:tab w:val="left" w:leader="underscore" w:pos="1947"/>
              </w:tabs>
              <w:kinsoku/>
              <w:overflowPunct/>
              <w:topLinePunct w:val="0"/>
              <w:autoSpaceDE/>
              <w:autoSpaceDN/>
              <w:bidi w:val="0"/>
              <w:adjustRightInd/>
              <w:snapToGrid/>
              <w:spacing w:line="560" w:lineRule="exact"/>
              <w:jc w:val="left"/>
              <w:textAlignment w:val="auto"/>
              <w:rPr>
                <w:rFonts w:hint="eastAsia" w:ascii="仿宋_GB2312" w:hAnsi="宋体" w:eastAsia="仿宋_GB2312" w:cs="Microsoft JhengHei"/>
                <w:color w:val="000000"/>
                <w:kern w:val="0"/>
                <w:sz w:val="21"/>
                <w:szCs w:val="21"/>
                <w:lang w:val="en-US" w:eastAsia="zh-CN" w:bidi="ar-SA"/>
              </w:rPr>
            </w:pPr>
            <w:r>
              <w:rPr>
                <w:rFonts w:hint="eastAsia" w:ascii="仿宋_GB2312" w:hAnsi="宋体" w:eastAsia="仿宋_GB2312" w:cs="Microsoft JhengHei"/>
                <w:color w:val="000000"/>
                <w:kern w:val="0"/>
                <w:sz w:val="21"/>
                <w:szCs w:val="21"/>
                <w:lang w:val="en-US" w:eastAsia="zh-CN" w:bidi="ar-SA"/>
              </w:rPr>
              <w:t>1.被控侵权产品具有与本案专利产品相似的移动槽、移动块、压合件及控制件，能够实现移动块带动压合件及控制件在移动槽内移动的功能，能够使用压合件实现夹持电路板的功能。</w:t>
            </w:r>
          </w:p>
        </w:tc>
      </w:tr>
    </w:tbl>
    <w:p>
      <w:pPr>
        <w:keepNext w:val="0"/>
        <w:keepLines w:val="0"/>
        <w:pageBreakBefore w:val="0"/>
        <w:widowControl w:val="0"/>
        <w:shd w:val="clear" w:color="auto" w:fill="auto"/>
        <w:kinsoku/>
        <w:overflowPunct/>
        <w:topLinePunct w:val="0"/>
        <w:autoSpaceDE/>
        <w:autoSpaceDN/>
        <w:bidi w:val="0"/>
        <w:adjustRightInd/>
        <w:snapToGrid/>
        <w:spacing w:before="0" w:line="560" w:lineRule="exact"/>
        <w:ind w:firstLine="420" w:firstLineChars="200"/>
        <w:jc w:val="left"/>
        <w:textAlignment w:val="auto"/>
        <w:rPr>
          <w:rFonts w:hint="eastAsia" w:ascii="仿宋_GB2312" w:hAnsi="宋体" w:eastAsia="仿宋_GB2312" w:cs="Microsoft JhengHei"/>
          <w:color w:val="000000"/>
          <w:kern w:val="0"/>
          <w:sz w:val="21"/>
          <w:szCs w:val="21"/>
          <w:lang w:val="en-US" w:eastAsia="zh-CN" w:bidi="ar-SA"/>
        </w:rPr>
      </w:pPr>
      <w:r>
        <w:rPr>
          <w:rFonts w:hint="eastAsia" w:ascii="仿宋_GB2312" w:hAnsi="宋体" w:eastAsia="仿宋_GB2312" w:cs="Microsoft JhengHei"/>
          <w:color w:val="000000"/>
          <w:kern w:val="0"/>
          <w:sz w:val="21"/>
          <w:szCs w:val="21"/>
          <w:lang w:val="en-US" w:eastAsia="zh-CN" w:bidi="ar-SA"/>
        </w:rPr>
        <w:t>以上事实有现场检查笔录、询问笔录、证据提取单等材料证明。</w:t>
      </w:r>
    </w:p>
    <w:p>
      <w:pPr>
        <w:pStyle w:val="7"/>
        <w:keepNext w:val="0"/>
        <w:keepLines w:val="0"/>
        <w:pageBreakBefore w:val="0"/>
        <w:shd w:val="clear" w:color="auto" w:fill="auto"/>
        <w:kinsoku/>
        <w:overflowPunct/>
        <w:topLinePunct w:val="0"/>
        <w:autoSpaceDE/>
        <w:autoSpaceDN/>
        <w:bidi w:val="0"/>
        <w:adjustRightInd/>
        <w:snapToGrid/>
        <w:spacing w:before="0" w:line="560" w:lineRule="exact"/>
        <w:ind w:firstLine="420" w:firstLineChars="200"/>
        <w:jc w:val="left"/>
        <w:textAlignment w:val="auto"/>
        <w:rPr>
          <w:rFonts w:hint="eastAsia" w:ascii="仿宋_GB2312" w:hAnsi="宋体" w:eastAsia="仿宋_GB2312" w:cs="Microsoft JhengHei"/>
          <w:color w:val="000000"/>
          <w:kern w:val="0"/>
          <w:sz w:val="21"/>
          <w:szCs w:val="21"/>
          <w:lang w:val="en-US" w:eastAsia="zh-CN" w:bidi="ar-SA"/>
        </w:rPr>
      </w:pPr>
      <w:r>
        <w:rPr>
          <w:rFonts w:hint="eastAsia" w:ascii="仿宋_GB2312" w:hAnsi="宋体" w:eastAsia="仿宋_GB2312" w:cs="Microsoft JhengHei"/>
          <w:color w:val="000000"/>
          <w:kern w:val="0"/>
          <w:sz w:val="21"/>
          <w:szCs w:val="21"/>
          <w:lang w:val="en-GB" w:eastAsia="zh-CN" w:bidi="ar-SA"/>
        </w:rPr>
        <w:t>本局认为：</w:t>
      </w:r>
      <w:r>
        <w:rPr>
          <w:rFonts w:hint="eastAsia" w:ascii="仿宋_GB2312" w:hAnsi="宋体" w:eastAsia="仿宋_GB2312" w:cs="Microsoft JhengHei"/>
          <w:color w:val="000000"/>
          <w:kern w:val="0"/>
          <w:sz w:val="21"/>
          <w:szCs w:val="21"/>
          <w:lang w:val="en-US" w:eastAsia="zh-CN" w:bidi="ar-SA"/>
        </w:rPr>
        <w:t xml:space="preserve">被控侵权产品与涉案专利产品具备相似的设计特征和模块组件，能够实现相同的技术效果，二者在设计特征和使用效果上无实质性差异，被控侵权产品包含了ZL202123048039.5实用新型专利权利要求6载明的全部技术方案，落入涉案专利权权利要求6保护范围。  </w:t>
      </w:r>
    </w:p>
    <w:p>
      <w:pPr>
        <w:keepNext w:val="0"/>
        <w:keepLines w:val="0"/>
        <w:pageBreakBefore w:val="0"/>
        <w:widowControl/>
        <w:tabs>
          <w:tab w:val="left" w:leader="underscore" w:pos="1947"/>
        </w:tabs>
        <w:kinsoku/>
        <w:overflowPunct/>
        <w:topLinePunct w:val="0"/>
        <w:autoSpaceDE/>
        <w:autoSpaceDN/>
        <w:bidi w:val="0"/>
        <w:adjustRightInd/>
        <w:snapToGrid/>
        <w:spacing w:line="560" w:lineRule="exact"/>
        <w:ind w:firstLine="420" w:firstLineChars="200"/>
        <w:jc w:val="left"/>
        <w:textAlignment w:val="auto"/>
        <w:rPr>
          <w:rFonts w:hint="eastAsia" w:ascii="仿宋_GB2312" w:hAnsi="宋体" w:eastAsia="仿宋_GB2312" w:cs="Microsoft JhengHei"/>
          <w:color w:val="000000"/>
          <w:kern w:val="0"/>
          <w:sz w:val="21"/>
          <w:szCs w:val="21"/>
          <w:lang w:val="en-GB" w:eastAsia="zh-CN" w:bidi="ar-SA"/>
        </w:rPr>
      </w:pPr>
      <w:r>
        <w:rPr>
          <w:rFonts w:hint="eastAsia" w:ascii="仿宋_GB2312" w:hAnsi="宋体" w:eastAsia="仿宋_GB2312" w:cs="Microsoft JhengHei"/>
          <w:color w:val="000000"/>
          <w:kern w:val="0"/>
          <w:sz w:val="21"/>
          <w:szCs w:val="21"/>
          <w:lang w:val="en-GB" w:eastAsia="zh-CN" w:bidi="ar-SA"/>
        </w:rPr>
        <w:t>综上所述，根据《中华人民共和国专利法》</w:t>
      </w:r>
      <w:bookmarkStart w:id="0" w:name="65"/>
      <w:r>
        <w:rPr>
          <w:rFonts w:hint="eastAsia" w:ascii="仿宋_GB2312" w:hAnsi="宋体" w:eastAsia="仿宋_GB2312" w:cs="Microsoft JhengHei"/>
          <w:color w:val="000000"/>
          <w:kern w:val="0"/>
          <w:sz w:val="21"/>
          <w:szCs w:val="21"/>
          <w:lang w:val="en-GB" w:eastAsia="zh-CN" w:bidi="ar-SA"/>
        </w:rPr>
        <w:t>第六十五条</w:t>
      </w:r>
      <w:bookmarkEnd w:id="0"/>
      <w:r>
        <w:rPr>
          <w:rFonts w:hint="eastAsia" w:ascii="仿宋_GB2312" w:hAnsi="宋体" w:eastAsia="仿宋_GB2312" w:cs="Microsoft JhengHei"/>
          <w:color w:val="000000"/>
          <w:kern w:val="0"/>
          <w:sz w:val="21"/>
          <w:szCs w:val="21"/>
          <w:lang w:val="en-GB" w:eastAsia="zh-CN" w:bidi="ar-SA"/>
        </w:rPr>
        <w:t>、《专利行政执法办法》</w:t>
      </w:r>
      <w:bookmarkStart w:id="1" w:name="19"/>
      <w:r>
        <w:rPr>
          <w:rFonts w:hint="eastAsia" w:ascii="仿宋_GB2312" w:hAnsi="宋体" w:eastAsia="仿宋_GB2312" w:cs="Microsoft JhengHei"/>
          <w:color w:val="000000"/>
          <w:kern w:val="0"/>
          <w:sz w:val="21"/>
          <w:szCs w:val="21"/>
          <w:lang w:val="en-GB" w:eastAsia="zh-CN" w:bidi="ar-SA"/>
        </w:rPr>
        <w:t>第十九条</w:t>
      </w:r>
      <w:bookmarkEnd w:id="1"/>
      <w:r>
        <w:rPr>
          <w:rFonts w:hint="eastAsia" w:ascii="仿宋_GB2312" w:hAnsi="宋体" w:eastAsia="仿宋_GB2312" w:cs="Microsoft JhengHei"/>
          <w:color w:val="000000"/>
          <w:kern w:val="0"/>
          <w:sz w:val="21"/>
          <w:szCs w:val="21"/>
          <w:lang w:val="en-GB" w:eastAsia="zh-CN" w:bidi="ar-SA"/>
        </w:rPr>
        <w:t>之规定，本局作出行政裁决如下：</w:t>
      </w:r>
    </w:p>
    <w:p>
      <w:pPr>
        <w:keepNext w:val="0"/>
        <w:keepLines w:val="0"/>
        <w:pageBreakBefore w:val="0"/>
        <w:widowControl/>
        <w:kinsoku/>
        <w:overflowPunct/>
        <w:topLinePunct w:val="0"/>
        <w:autoSpaceDE/>
        <w:autoSpaceDN/>
        <w:bidi w:val="0"/>
        <w:adjustRightInd/>
        <w:snapToGrid/>
        <w:spacing w:line="560" w:lineRule="exact"/>
        <w:ind w:firstLine="420" w:firstLineChars="200"/>
        <w:jc w:val="both"/>
        <w:textAlignment w:val="auto"/>
        <w:rPr>
          <w:rFonts w:hint="eastAsia" w:ascii="仿宋_GB2312" w:hAnsi="宋体" w:eastAsia="仿宋_GB2312" w:cs="Microsoft JhengHei"/>
          <w:color w:val="000000"/>
          <w:kern w:val="0"/>
          <w:sz w:val="21"/>
          <w:szCs w:val="21"/>
          <w:lang w:val="en-US" w:eastAsia="zh-CN" w:bidi="ar-SA"/>
        </w:rPr>
      </w:pPr>
      <w:r>
        <w:rPr>
          <w:rFonts w:hint="eastAsia" w:ascii="仿宋_GB2312" w:hAnsi="宋体" w:eastAsia="仿宋_GB2312" w:cs="Microsoft JhengHei"/>
          <w:color w:val="000000"/>
          <w:kern w:val="0"/>
          <w:sz w:val="21"/>
          <w:szCs w:val="21"/>
          <w:lang w:val="en-US" w:eastAsia="zh-CN" w:bidi="ar-SA"/>
        </w:rPr>
        <w:t>一、责令被请求人立即停止侵权行为，即立即停止使用侵犯ZL202123048039.5号实用新型专利。</w:t>
      </w:r>
    </w:p>
    <w:p>
      <w:pPr>
        <w:keepNext w:val="0"/>
        <w:keepLines w:val="0"/>
        <w:pageBreakBefore w:val="0"/>
        <w:widowControl/>
        <w:kinsoku/>
        <w:overflowPunct/>
        <w:topLinePunct w:val="0"/>
        <w:autoSpaceDE/>
        <w:autoSpaceDN/>
        <w:bidi w:val="0"/>
        <w:adjustRightInd/>
        <w:snapToGrid/>
        <w:spacing w:line="560" w:lineRule="exact"/>
        <w:ind w:firstLine="420" w:firstLineChars="200"/>
        <w:jc w:val="both"/>
        <w:textAlignment w:val="auto"/>
        <w:rPr>
          <w:rFonts w:hint="eastAsia" w:ascii="仿宋_GB2312" w:hAnsi="宋体" w:eastAsia="仿宋_GB2312" w:cs="Microsoft JhengHei"/>
          <w:color w:val="000000"/>
          <w:kern w:val="0"/>
          <w:sz w:val="21"/>
          <w:szCs w:val="21"/>
          <w:lang w:val="en-US" w:eastAsia="zh-CN" w:bidi="ar-SA"/>
        </w:rPr>
      </w:pPr>
      <w:r>
        <w:rPr>
          <w:rFonts w:hint="eastAsia" w:ascii="仿宋_GB2312" w:hAnsi="宋体" w:eastAsia="仿宋_GB2312" w:cs="Microsoft JhengHei"/>
          <w:color w:val="000000"/>
          <w:kern w:val="0"/>
          <w:sz w:val="21"/>
          <w:szCs w:val="21"/>
          <w:lang w:val="en-US" w:eastAsia="zh-CN" w:bidi="ar-SA"/>
        </w:rPr>
        <w:t>二、驳回请求人的其他请求。</w:t>
      </w:r>
    </w:p>
    <w:p>
      <w:pPr>
        <w:keepNext w:val="0"/>
        <w:keepLines w:val="0"/>
        <w:pageBreakBefore w:val="0"/>
        <w:widowControl/>
        <w:kinsoku/>
        <w:overflowPunct/>
        <w:topLinePunct w:val="0"/>
        <w:autoSpaceDE/>
        <w:autoSpaceDN/>
        <w:bidi w:val="0"/>
        <w:adjustRightInd/>
        <w:snapToGrid/>
        <w:spacing w:line="560" w:lineRule="exact"/>
        <w:ind w:firstLine="420" w:firstLineChars="200"/>
        <w:jc w:val="both"/>
        <w:textAlignment w:val="auto"/>
        <w:rPr>
          <w:rFonts w:hint="eastAsia" w:ascii="仿宋_GB2312" w:hAnsi="宋体" w:eastAsia="仿宋_GB2312" w:cs="Microsoft JhengHei"/>
          <w:color w:val="000000"/>
          <w:kern w:val="0"/>
          <w:sz w:val="21"/>
          <w:szCs w:val="21"/>
          <w:lang w:val="en-GB" w:eastAsia="zh-CN" w:bidi="ar-SA"/>
        </w:rPr>
      </w:pPr>
      <w:r>
        <w:rPr>
          <w:rFonts w:hint="eastAsia" w:ascii="仿宋_GB2312" w:hAnsi="宋体" w:eastAsia="仿宋_GB2312" w:cs="Microsoft JhengHei"/>
          <w:color w:val="000000"/>
          <w:kern w:val="0"/>
          <w:sz w:val="21"/>
          <w:szCs w:val="21"/>
          <w:lang w:val="en-GB" w:eastAsia="zh-CN" w:bidi="ar-SA"/>
        </w:rPr>
        <w:t>当事人如不服本裁决，可自收到裁决书之日起15日内，依照《中华人民共和国专利法》第六十条向</w:t>
      </w:r>
      <w:r>
        <w:rPr>
          <w:rFonts w:hint="eastAsia" w:ascii="仿宋_GB2312" w:hAnsi="宋体" w:eastAsia="仿宋_GB2312" w:cs="Microsoft JhengHei"/>
          <w:color w:val="000000"/>
          <w:kern w:val="0"/>
          <w:sz w:val="21"/>
          <w:szCs w:val="21"/>
          <w:lang w:val="en-US" w:eastAsia="zh-CN" w:bidi="ar-SA"/>
        </w:rPr>
        <w:t>深圳市中级</w:t>
      </w:r>
      <w:r>
        <w:rPr>
          <w:rFonts w:hint="eastAsia" w:ascii="仿宋_GB2312" w:hAnsi="宋体" w:eastAsia="仿宋_GB2312" w:cs="Microsoft JhengHei"/>
          <w:color w:val="000000"/>
          <w:kern w:val="0"/>
          <w:sz w:val="21"/>
          <w:szCs w:val="21"/>
          <w:lang w:val="en-GB" w:eastAsia="zh-CN" w:bidi="ar-SA"/>
        </w:rPr>
        <w:t>人民法院起诉。期满不起诉又不履行行政裁决的，本局将申请人民法院强制执行。</w:t>
      </w:r>
    </w:p>
    <w:p>
      <w:pPr>
        <w:keepNext w:val="0"/>
        <w:keepLines w:val="0"/>
        <w:pageBreakBefore w:val="0"/>
        <w:widowControl/>
        <w:tabs>
          <w:tab w:val="left" w:leader="underscore" w:pos="4022"/>
        </w:tabs>
        <w:kinsoku/>
        <w:overflowPunct/>
        <w:topLinePunct w:val="0"/>
        <w:autoSpaceDE/>
        <w:autoSpaceDN/>
        <w:bidi w:val="0"/>
        <w:adjustRightInd/>
        <w:snapToGrid/>
        <w:spacing w:line="560" w:lineRule="exact"/>
        <w:jc w:val="both"/>
        <w:textAlignment w:val="auto"/>
        <w:rPr>
          <w:rFonts w:hint="eastAsia" w:ascii="仿宋" w:hAnsi="仿宋" w:eastAsia="仿宋" w:cs="仿宋"/>
          <w:color w:val="000000"/>
          <w:kern w:val="0"/>
          <w:sz w:val="32"/>
          <w:szCs w:val="32"/>
          <w:lang w:val="en-GB" w:eastAsia="zh-CN"/>
        </w:rPr>
      </w:pPr>
    </w:p>
    <w:p>
      <w:pPr>
        <w:keepNext w:val="0"/>
        <w:keepLines w:val="0"/>
        <w:pageBreakBefore w:val="0"/>
        <w:widowControl/>
        <w:tabs>
          <w:tab w:val="left" w:leader="underscore" w:pos="4022"/>
        </w:tabs>
        <w:kinsoku/>
        <w:overflowPunct/>
        <w:topLinePunct w:val="0"/>
        <w:autoSpaceDE/>
        <w:autoSpaceDN/>
        <w:bidi w:val="0"/>
        <w:adjustRightInd/>
        <w:snapToGrid/>
        <w:spacing w:line="560" w:lineRule="exact"/>
        <w:jc w:val="both"/>
        <w:textAlignment w:val="auto"/>
        <w:rPr>
          <w:rFonts w:hint="eastAsia" w:ascii="仿宋" w:hAnsi="仿宋" w:eastAsia="仿宋" w:cs="仿宋"/>
          <w:color w:val="000000"/>
          <w:kern w:val="0"/>
          <w:sz w:val="32"/>
          <w:szCs w:val="32"/>
          <w:lang w:val="en-GB" w:eastAsia="zh-CN"/>
        </w:rPr>
      </w:pPr>
    </w:p>
    <w:p>
      <w:pPr>
        <w:keepNext w:val="0"/>
        <w:keepLines w:val="0"/>
        <w:pageBreakBefore w:val="0"/>
        <w:widowControl/>
        <w:tabs>
          <w:tab w:val="left" w:leader="underscore" w:pos="4022"/>
        </w:tabs>
        <w:kinsoku/>
        <w:overflowPunct/>
        <w:topLinePunct w:val="0"/>
        <w:autoSpaceDE/>
        <w:autoSpaceDN/>
        <w:bidi w:val="0"/>
        <w:adjustRightInd/>
        <w:snapToGrid/>
        <w:spacing w:line="560" w:lineRule="exact"/>
        <w:jc w:val="both"/>
        <w:textAlignment w:val="auto"/>
        <w:rPr>
          <w:rFonts w:hint="eastAsia" w:ascii="仿宋" w:hAnsi="仿宋" w:eastAsia="仿宋" w:cs="仿宋"/>
          <w:color w:val="000000"/>
          <w:kern w:val="0"/>
          <w:sz w:val="32"/>
          <w:szCs w:val="32"/>
          <w:lang w:val="en-GB" w:eastAsia="zh-CN"/>
        </w:rPr>
      </w:pPr>
    </w:p>
    <w:p>
      <w:pPr>
        <w:widowControl/>
        <w:tabs>
          <w:tab w:val="left" w:leader="underscore" w:pos="4022"/>
          <w:tab w:val="right" w:pos="9412"/>
        </w:tabs>
        <w:spacing w:line="336" w:lineRule="auto"/>
        <w:ind w:left="1680" w:leftChars="800" w:firstLine="4630" w:firstLineChars="2205"/>
        <w:jc w:val="both"/>
        <w:rPr>
          <w:rFonts w:hint="eastAsia" w:ascii="仿宋_GB2312" w:hAnsi="仿宋" w:eastAsia="仿宋_GB2312" w:cs="PMingLiU"/>
          <w:color w:val="000000"/>
          <w:kern w:val="0"/>
          <w:sz w:val="21"/>
          <w:szCs w:val="21"/>
          <w:lang w:val="en-GB" w:eastAsia="zh-CN"/>
        </w:rPr>
      </w:pPr>
    </w:p>
    <w:p>
      <w:pPr>
        <w:widowControl/>
        <w:tabs>
          <w:tab w:val="left" w:leader="underscore" w:pos="4022"/>
          <w:tab w:val="right" w:pos="9412"/>
        </w:tabs>
        <w:spacing w:line="336" w:lineRule="auto"/>
        <w:ind w:firstLine="5040" w:firstLineChars="2400"/>
        <w:jc w:val="both"/>
        <w:rPr>
          <w:rFonts w:hint="eastAsia" w:ascii="仿宋_GB2312" w:hAnsi="仿宋" w:eastAsia="仿宋_GB2312" w:cs="PMingLiU"/>
          <w:color w:val="000000"/>
          <w:kern w:val="0"/>
          <w:sz w:val="21"/>
          <w:szCs w:val="21"/>
          <w:lang w:val="en-US" w:eastAsia="zh-CN"/>
        </w:rPr>
      </w:pPr>
      <w:r>
        <w:rPr>
          <w:rFonts w:hint="eastAsia" w:ascii="仿宋_GB2312" w:hAnsi="仿宋" w:eastAsia="仿宋_GB2312" w:cs="PMingLiU"/>
          <w:color w:val="000000"/>
          <w:kern w:val="0"/>
          <w:sz w:val="21"/>
          <w:szCs w:val="21"/>
          <w:lang w:val="en-US" w:eastAsia="zh-CN"/>
        </w:rPr>
        <w:t>深圳市市场监督管理局光明监管局</w:t>
      </w:r>
    </w:p>
    <w:p>
      <w:pPr>
        <w:widowControl/>
        <w:tabs>
          <w:tab w:val="left" w:leader="underscore" w:pos="4022"/>
          <w:tab w:val="right" w:pos="9412"/>
        </w:tabs>
        <w:spacing w:line="336" w:lineRule="auto"/>
        <w:ind w:firstLine="6090" w:firstLineChars="2900"/>
        <w:jc w:val="both"/>
        <w:rPr>
          <w:rFonts w:hint="eastAsia"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 xml:space="preserve">年 </w:t>
      </w:r>
      <w:r>
        <w:rPr>
          <w:rFonts w:hint="eastAsia" w:ascii="仿宋_GB2312" w:hAnsi="仿宋" w:eastAsia="仿宋_GB2312" w:cs="PMingLiU"/>
          <w:color w:val="000000"/>
          <w:kern w:val="0"/>
          <w:sz w:val="21"/>
          <w:szCs w:val="21"/>
          <w:lang w:val="en-US" w:eastAsia="zh-CN"/>
        </w:rPr>
        <w:t xml:space="preserve">  </w:t>
      </w:r>
      <w:r>
        <w:rPr>
          <w:rFonts w:hint="eastAsia" w:ascii="仿宋_GB2312" w:hAnsi="仿宋" w:eastAsia="仿宋_GB2312" w:cs="PMingLiU"/>
          <w:color w:val="000000"/>
          <w:kern w:val="0"/>
          <w:sz w:val="21"/>
          <w:szCs w:val="21"/>
          <w:lang w:val="en-GB" w:eastAsia="zh-CN"/>
        </w:rPr>
        <w:t xml:space="preserve"> 月 </w:t>
      </w:r>
      <w:r>
        <w:rPr>
          <w:rFonts w:hint="eastAsia" w:ascii="仿宋_GB2312" w:hAnsi="仿宋" w:eastAsia="仿宋_GB2312" w:cs="PMingLiU"/>
          <w:color w:val="000000"/>
          <w:kern w:val="0"/>
          <w:sz w:val="21"/>
          <w:szCs w:val="21"/>
          <w:lang w:val="en-US" w:eastAsia="zh-CN"/>
        </w:rPr>
        <w:t xml:space="preserve">  </w:t>
      </w:r>
      <w:r>
        <w:rPr>
          <w:rFonts w:hint="eastAsia" w:ascii="仿宋_GB2312" w:hAnsi="仿宋" w:eastAsia="仿宋_GB2312" w:cs="PMingLiU"/>
          <w:color w:val="000000"/>
          <w:kern w:val="0"/>
          <w:sz w:val="21"/>
          <w:szCs w:val="21"/>
          <w:lang w:val="en-GB" w:eastAsia="zh-CN"/>
        </w:rPr>
        <w:t xml:space="preserve"> 日　</w:t>
      </w:r>
    </w:p>
    <w:p>
      <w:pPr>
        <w:widowControl/>
        <w:tabs>
          <w:tab w:val="left" w:leader="underscore" w:pos="4022"/>
          <w:tab w:val="right" w:pos="9412"/>
        </w:tabs>
        <w:spacing w:line="336" w:lineRule="auto"/>
        <w:ind w:left="1680" w:leftChars="800" w:firstLine="4630" w:firstLineChars="2205"/>
        <w:jc w:val="both"/>
        <w:rPr>
          <w:rFonts w:hint="eastAsia" w:ascii="仿宋_GB2312" w:hAnsi="仿宋" w:eastAsia="仿宋_GB2312" w:cs="PMingLiU"/>
          <w:color w:val="000000"/>
          <w:kern w:val="0"/>
          <w:sz w:val="21"/>
          <w:szCs w:val="21"/>
          <w:lang w:val="en-GB" w:eastAsia="zh-CN"/>
        </w:rPr>
      </w:pPr>
    </w:p>
    <w:p>
      <w:pPr>
        <w:widowControl/>
        <w:tabs>
          <w:tab w:val="left" w:leader="underscore" w:pos="4022"/>
          <w:tab w:val="right" w:pos="9412"/>
        </w:tabs>
        <w:spacing w:line="336" w:lineRule="auto"/>
        <w:ind w:left="1680" w:leftChars="800" w:firstLine="4630" w:firstLineChars="2205"/>
        <w:jc w:val="both"/>
        <w:rPr>
          <w:rFonts w:hint="eastAsia" w:ascii="仿宋_GB2312" w:hAnsi="仿宋" w:eastAsia="仿宋_GB2312" w:cs="PMingLiU"/>
          <w:color w:val="000000"/>
          <w:kern w:val="0"/>
          <w:sz w:val="21"/>
          <w:szCs w:val="21"/>
          <w:lang w:val="en-US" w:eastAsia="zh-CN"/>
        </w:rPr>
      </w:pPr>
    </w:p>
    <w:p>
      <w:pPr>
        <w:keepNext w:val="0"/>
        <w:keepLines w:val="0"/>
        <w:pageBreakBefore w:val="0"/>
        <w:widowControl/>
        <w:tabs>
          <w:tab w:val="left" w:leader="underscore" w:pos="4022"/>
        </w:tabs>
        <w:kinsoku/>
        <w:overflowPunct/>
        <w:topLinePunct w:val="0"/>
        <w:autoSpaceDE/>
        <w:autoSpaceDN/>
        <w:bidi w:val="0"/>
        <w:adjustRightInd/>
        <w:snapToGrid/>
        <w:spacing w:line="560" w:lineRule="exact"/>
        <w:jc w:val="both"/>
        <w:textAlignment w:val="auto"/>
        <w:rPr>
          <w:rFonts w:hint="eastAsia" w:ascii="仿宋" w:hAnsi="仿宋" w:eastAsia="仿宋" w:cs="仿宋"/>
          <w:color w:val="000000"/>
          <w:kern w:val="0"/>
          <w:sz w:val="32"/>
          <w:szCs w:val="32"/>
          <w:lang w:val="en-GB" w:eastAsia="zh-CN"/>
        </w:rPr>
      </w:pPr>
    </w:p>
    <w:p>
      <w:pPr>
        <w:keepNext w:val="0"/>
        <w:keepLines w:val="0"/>
        <w:pageBreakBefore w:val="0"/>
        <w:widowControl w:val="0"/>
        <w:shd w:val="clear" w:color="auto" w:fill="auto"/>
        <w:kinsoku/>
        <w:overflowPunct/>
        <w:topLinePunct w:val="0"/>
        <w:autoSpaceDE/>
        <w:autoSpaceDN/>
        <w:bidi w:val="0"/>
        <w:adjustRightInd/>
        <w:snapToGrid/>
        <w:spacing w:before="0" w:line="560" w:lineRule="exact"/>
        <w:ind w:left="440"/>
        <w:jc w:val="left"/>
        <w:textAlignment w:val="auto"/>
        <w:rPr>
          <w:rFonts w:ascii="仿宋_GB2312" w:hAnsi="宋体" w:eastAsia="仿宋_GB2312" w:cs="Microsoft JhengHei"/>
          <w:b/>
          <w:color w:val="000000"/>
          <w:kern w:val="0"/>
          <w:sz w:val="21"/>
          <w:szCs w:val="21"/>
          <w:lang w:val="en-GB" w:eastAsia="en-US" w:bidi="ar-SA"/>
        </w:rPr>
      </w:pPr>
    </w:p>
    <w:p>
      <w:pPr>
        <w:keepNext w:val="0"/>
        <w:keepLines w:val="0"/>
        <w:pageBreakBefore w:val="0"/>
        <w:widowControl/>
        <w:tabs>
          <w:tab w:val="left" w:leader="underscore" w:pos="4022"/>
          <w:tab w:val="right" w:pos="9412"/>
        </w:tabs>
        <w:kinsoku/>
        <w:overflowPunct/>
        <w:topLinePunct w:val="0"/>
        <w:autoSpaceDE/>
        <w:autoSpaceDN/>
        <w:bidi w:val="0"/>
        <w:adjustRightInd/>
        <w:snapToGrid/>
        <w:spacing w:line="560" w:lineRule="exact"/>
        <w:ind w:left="0" w:leftChars="0" w:firstLine="0" w:firstLineChars="0"/>
        <w:textAlignment w:val="auto"/>
        <w:rPr>
          <w:rFonts w:hint="eastAsia" w:ascii="仿宋_GB2312" w:hAnsi="仿宋" w:eastAsia="仿宋_GB2312" w:cs="PMingLiU"/>
          <w:color w:val="000000"/>
          <w:kern w:val="0"/>
          <w:sz w:val="28"/>
          <w:szCs w:val="28"/>
          <w:u w:val="none"/>
          <w:lang w:val="en-US" w:eastAsia="zh-CN"/>
        </w:rPr>
      </w:pPr>
    </w:p>
    <w:p>
      <w:pPr>
        <w:keepNext w:val="0"/>
        <w:keepLines w:val="0"/>
        <w:pageBreakBefore w:val="0"/>
        <w:widowControl/>
        <w:tabs>
          <w:tab w:val="left" w:leader="underscore" w:pos="4022"/>
          <w:tab w:val="right" w:pos="9412"/>
        </w:tabs>
        <w:kinsoku/>
        <w:overflowPunct/>
        <w:topLinePunct w:val="0"/>
        <w:autoSpaceDE/>
        <w:autoSpaceDN/>
        <w:bidi w:val="0"/>
        <w:adjustRightInd/>
        <w:snapToGrid/>
        <w:spacing w:line="560" w:lineRule="exact"/>
        <w:ind w:left="0" w:leftChars="0" w:firstLine="0" w:firstLineChars="0"/>
        <w:textAlignment w:val="auto"/>
        <w:rPr>
          <w:rFonts w:hint="eastAsia" w:ascii="仿宋_GB2312" w:hAnsi="仿宋" w:eastAsia="仿宋_GB2312" w:cs="PMingLiU"/>
          <w:color w:val="000000"/>
          <w:kern w:val="0"/>
          <w:sz w:val="28"/>
          <w:szCs w:val="28"/>
          <w:u w:val="none"/>
          <w:lang w:val="en-US" w:eastAsia="zh-CN"/>
        </w:rPr>
      </w:pPr>
    </w:p>
    <w:p>
      <w:pPr>
        <w:keepNext w:val="0"/>
        <w:keepLines w:val="0"/>
        <w:pageBreakBefore w:val="0"/>
        <w:widowControl/>
        <w:tabs>
          <w:tab w:val="left" w:leader="underscore" w:pos="4022"/>
          <w:tab w:val="right" w:pos="9412"/>
        </w:tabs>
        <w:kinsoku/>
        <w:overflowPunct/>
        <w:topLinePunct w:val="0"/>
        <w:autoSpaceDE/>
        <w:autoSpaceDN/>
        <w:bidi w:val="0"/>
        <w:adjustRightInd/>
        <w:snapToGrid/>
        <w:spacing w:line="560" w:lineRule="exact"/>
        <w:ind w:left="0" w:leftChars="0" w:firstLine="0" w:firstLineChars="0"/>
        <w:textAlignment w:val="auto"/>
        <w:rPr>
          <w:rFonts w:hint="eastAsia" w:ascii="仿宋_GB2312" w:hAnsi="仿宋" w:eastAsia="仿宋_GB2312" w:cs="PMingLiU"/>
          <w:color w:val="000000"/>
          <w:kern w:val="0"/>
          <w:sz w:val="28"/>
          <w:szCs w:val="28"/>
          <w:u w:val="none"/>
          <w:lang w:val="en-US" w:eastAsia="zh-CN"/>
        </w:rPr>
      </w:pPr>
    </w:p>
    <w:p>
      <w:pPr>
        <w:keepNext w:val="0"/>
        <w:keepLines w:val="0"/>
        <w:pageBreakBefore w:val="0"/>
        <w:widowControl/>
        <w:tabs>
          <w:tab w:val="left" w:leader="underscore" w:pos="4022"/>
          <w:tab w:val="right" w:pos="9412"/>
        </w:tabs>
        <w:kinsoku/>
        <w:overflowPunct/>
        <w:topLinePunct w:val="0"/>
        <w:autoSpaceDE/>
        <w:autoSpaceDN/>
        <w:bidi w:val="0"/>
        <w:adjustRightInd/>
        <w:snapToGrid/>
        <w:spacing w:line="560" w:lineRule="exact"/>
        <w:ind w:left="0" w:leftChars="0" w:firstLine="0" w:firstLineChars="0"/>
        <w:textAlignment w:val="auto"/>
        <w:rPr>
          <w:rFonts w:hint="eastAsia" w:ascii="仿宋_GB2312" w:hAnsi="仿宋" w:eastAsia="仿宋_GB2312" w:cs="PMingLiU"/>
          <w:color w:val="000000"/>
          <w:kern w:val="0"/>
          <w:sz w:val="28"/>
          <w:szCs w:val="28"/>
          <w:u w:val="none"/>
          <w:lang w:val="en-US" w:eastAsia="zh-CN"/>
        </w:rPr>
      </w:pPr>
    </w:p>
    <w:p>
      <w:pPr>
        <w:keepNext w:val="0"/>
        <w:keepLines w:val="0"/>
        <w:pageBreakBefore w:val="0"/>
        <w:widowControl/>
        <w:tabs>
          <w:tab w:val="left" w:leader="underscore" w:pos="4022"/>
          <w:tab w:val="right" w:pos="9412"/>
        </w:tabs>
        <w:kinsoku/>
        <w:overflowPunct/>
        <w:topLinePunct w:val="0"/>
        <w:autoSpaceDE/>
        <w:autoSpaceDN/>
        <w:bidi w:val="0"/>
        <w:adjustRightInd/>
        <w:snapToGrid/>
        <w:spacing w:line="560" w:lineRule="exact"/>
        <w:ind w:left="0" w:leftChars="0" w:firstLine="0" w:firstLineChars="0"/>
        <w:textAlignment w:val="auto"/>
        <w:rPr>
          <w:rFonts w:hint="eastAsia" w:ascii="仿宋_GB2312" w:hAnsi="仿宋" w:eastAsia="仿宋_GB2312" w:cs="PMingLiU"/>
          <w:color w:val="000000"/>
          <w:kern w:val="0"/>
          <w:sz w:val="28"/>
          <w:szCs w:val="28"/>
          <w:u w:val="none"/>
          <w:lang w:val="en-US" w:eastAsia="zh-CN"/>
        </w:rPr>
      </w:pPr>
      <w:r>
        <w:rPr>
          <w:rFonts w:hint="eastAsia" w:ascii="仿宋_GB2312" w:hAnsi="仿宋" w:eastAsia="仿宋_GB2312" w:cs="PMingLiU"/>
          <w:color w:val="000000"/>
          <w:kern w:val="0"/>
          <w:sz w:val="28"/>
          <w:szCs w:val="28"/>
          <w:u w:val="none"/>
          <w:lang w:val="en-US" w:eastAsia="zh-CN"/>
        </w:rPr>
        <w:t>附相关法条：</w:t>
      </w:r>
    </w:p>
    <w:p>
      <w:pPr>
        <w:keepNext w:val="0"/>
        <w:keepLines w:val="0"/>
        <w:pageBreakBefore w:val="0"/>
        <w:widowControl/>
        <w:tabs>
          <w:tab w:val="left" w:leader="underscore" w:pos="4022"/>
          <w:tab w:val="right" w:pos="9412"/>
        </w:tabs>
        <w:kinsoku/>
        <w:overflowPunct/>
        <w:topLinePunct w:val="0"/>
        <w:autoSpaceDE/>
        <w:autoSpaceDN/>
        <w:bidi w:val="0"/>
        <w:adjustRightInd/>
        <w:snapToGrid/>
        <w:spacing w:line="560" w:lineRule="exact"/>
        <w:ind w:left="0" w:leftChars="0" w:firstLine="0" w:firstLineChars="0"/>
        <w:textAlignment w:val="auto"/>
        <w:rPr>
          <w:rFonts w:hint="eastAsia" w:ascii="仿宋_GB2312" w:hAnsi="仿宋" w:eastAsia="仿宋_GB2312" w:cs="PMingLiU"/>
          <w:color w:val="000000"/>
          <w:kern w:val="0"/>
          <w:sz w:val="28"/>
          <w:szCs w:val="28"/>
          <w:lang w:val="en-GB"/>
        </w:rPr>
      </w:pPr>
      <w:r>
        <w:rPr>
          <w:rFonts w:hint="eastAsia" w:ascii="仿宋_GB2312" w:hAnsi="仿宋" w:eastAsia="仿宋_GB2312" w:cs="PMingLiU"/>
          <w:color w:val="000000"/>
          <w:kern w:val="0"/>
          <w:sz w:val="28"/>
          <w:szCs w:val="28"/>
          <w:lang w:val="en-GB"/>
        </w:rPr>
        <w:t>《专利行政执法办法》</w:t>
      </w:r>
    </w:p>
    <w:p>
      <w:pPr>
        <w:keepNext w:val="0"/>
        <w:keepLines w:val="0"/>
        <w:pageBreakBefore w:val="0"/>
        <w:widowControl/>
        <w:suppressLineNumbers w:val="0"/>
        <w:shd w:val="clear" w:fill="FFFFFF"/>
        <w:kinsoku/>
        <w:overflowPunct/>
        <w:topLinePunct w:val="0"/>
        <w:autoSpaceDE/>
        <w:autoSpaceDN/>
        <w:bidi w:val="0"/>
        <w:adjustRightInd/>
        <w:snapToGrid/>
        <w:spacing w:line="560" w:lineRule="exact"/>
        <w:ind w:left="0" w:firstLine="0"/>
        <w:jc w:val="left"/>
        <w:textAlignment w:val="auto"/>
        <w:rPr>
          <w:rFonts w:hint="default"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b/>
          <w:bCs/>
          <w:i w:val="0"/>
          <w:caps w:val="0"/>
          <w:color w:val="333333"/>
          <w:spacing w:val="0"/>
          <w:kern w:val="0"/>
          <w:sz w:val="21"/>
          <w:szCs w:val="21"/>
          <w:shd w:val="clear" w:fill="FFFFFF"/>
          <w:lang w:val="en-US" w:eastAsia="zh-CN" w:bidi="ar"/>
        </w:rPr>
        <w:t>第十九条</w:t>
      </w:r>
      <w:r>
        <w:rPr>
          <w:rFonts w:hint="eastAsia" w:ascii="Arial" w:hAnsi="Arial" w:eastAsia="宋体" w:cs="Arial"/>
          <w:b/>
          <w:bCs/>
          <w:i w:val="0"/>
          <w:caps w:val="0"/>
          <w:color w:val="333333"/>
          <w:spacing w:val="0"/>
          <w:kern w:val="0"/>
          <w:sz w:val="21"/>
          <w:szCs w:val="21"/>
          <w:shd w:val="clear" w:fill="FFFFFF"/>
          <w:lang w:val="en-US" w:eastAsia="zh-CN" w:bidi="ar"/>
        </w:rPr>
        <w:t xml:space="preserve"> </w:t>
      </w:r>
      <w:r>
        <w:rPr>
          <w:rFonts w:hint="default" w:ascii="Arial" w:hAnsi="Arial" w:eastAsia="宋体" w:cs="Arial"/>
          <w:i w:val="0"/>
          <w:caps w:val="0"/>
          <w:color w:val="333333"/>
          <w:spacing w:val="0"/>
          <w:kern w:val="0"/>
          <w:sz w:val="21"/>
          <w:szCs w:val="21"/>
          <w:shd w:val="clear" w:fill="FFFFFF"/>
          <w:lang w:val="en-US" w:eastAsia="zh-CN" w:bidi="ar"/>
        </w:rPr>
        <w:t>除达成调解协议或者请求人撤回请求之外，管理专利工作的部门处理专利侵权纠纷应当制作处理决定书，写明以下内容：</w:t>
      </w:r>
    </w:p>
    <w:p>
      <w:pPr>
        <w:keepNext w:val="0"/>
        <w:keepLines w:val="0"/>
        <w:pageBreakBefore w:val="0"/>
        <w:widowControl/>
        <w:suppressLineNumbers w:val="0"/>
        <w:shd w:val="clear" w:fill="FFFFFF"/>
        <w:kinsoku/>
        <w:overflowPunct/>
        <w:topLinePunct w:val="0"/>
        <w:autoSpaceDE/>
        <w:autoSpaceDN/>
        <w:bidi w:val="0"/>
        <w:adjustRightInd/>
        <w:snapToGrid/>
        <w:spacing w:line="560" w:lineRule="exact"/>
        <w:ind w:left="0" w:firstLine="0"/>
        <w:jc w:val="left"/>
        <w:textAlignment w:val="auto"/>
        <w:rPr>
          <w:rFonts w:hint="default"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i w:val="0"/>
          <w:caps w:val="0"/>
          <w:color w:val="333333"/>
          <w:spacing w:val="0"/>
          <w:kern w:val="0"/>
          <w:sz w:val="21"/>
          <w:szCs w:val="21"/>
          <w:shd w:val="clear" w:fill="FFFFFF"/>
          <w:lang w:val="en-US" w:eastAsia="zh-CN" w:bidi="ar"/>
        </w:rPr>
        <w:t>　　（一）当事人的姓名或者名称、地址；</w:t>
      </w:r>
    </w:p>
    <w:p>
      <w:pPr>
        <w:keepNext w:val="0"/>
        <w:keepLines w:val="0"/>
        <w:pageBreakBefore w:val="0"/>
        <w:widowControl/>
        <w:suppressLineNumbers w:val="0"/>
        <w:shd w:val="clear" w:fill="FFFFFF"/>
        <w:kinsoku/>
        <w:overflowPunct/>
        <w:topLinePunct w:val="0"/>
        <w:autoSpaceDE/>
        <w:autoSpaceDN/>
        <w:bidi w:val="0"/>
        <w:adjustRightInd/>
        <w:snapToGrid/>
        <w:spacing w:line="560" w:lineRule="exact"/>
        <w:ind w:left="0" w:firstLine="0"/>
        <w:jc w:val="left"/>
        <w:textAlignment w:val="auto"/>
        <w:rPr>
          <w:rFonts w:hint="default"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i w:val="0"/>
          <w:caps w:val="0"/>
          <w:color w:val="333333"/>
          <w:spacing w:val="0"/>
          <w:kern w:val="0"/>
          <w:sz w:val="21"/>
          <w:szCs w:val="21"/>
          <w:shd w:val="clear" w:fill="FFFFFF"/>
          <w:lang w:val="en-US" w:eastAsia="zh-CN" w:bidi="ar"/>
        </w:rPr>
        <w:t>　　（二）当事人陈述的事实和理由；</w:t>
      </w:r>
    </w:p>
    <w:p>
      <w:pPr>
        <w:keepNext w:val="0"/>
        <w:keepLines w:val="0"/>
        <w:pageBreakBefore w:val="0"/>
        <w:widowControl/>
        <w:suppressLineNumbers w:val="0"/>
        <w:shd w:val="clear" w:fill="FFFFFF"/>
        <w:kinsoku/>
        <w:overflowPunct/>
        <w:topLinePunct w:val="0"/>
        <w:autoSpaceDE/>
        <w:autoSpaceDN/>
        <w:bidi w:val="0"/>
        <w:adjustRightInd/>
        <w:snapToGrid/>
        <w:spacing w:line="560" w:lineRule="exact"/>
        <w:ind w:left="0" w:firstLine="0"/>
        <w:jc w:val="left"/>
        <w:textAlignment w:val="auto"/>
        <w:rPr>
          <w:rFonts w:hint="default"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i w:val="0"/>
          <w:caps w:val="0"/>
          <w:color w:val="333333"/>
          <w:spacing w:val="0"/>
          <w:kern w:val="0"/>
          <w:sz w:val="21"/>
          <w:szCs w:val="21"/>
          <w:shd w:val="clear" w:fill="FFFFFF"/>
          <w:lang w:val="en-US" w:eastAsia="zh-CN" w:bidi="ar"/>
        </w:rPr>
        <w:t>　　（三）认定侵权行为是否成立的理由和依据；</w:t>
      </w:r>
    </w:p>
    <w:p>
      <w:pPr>
        <w:keepNext w:val="0"/>
        <w:keepLines w:val="0"/>
        <w:pageBreakBefore w:val="0"/>
        <w:widowControl/>
        <w:suppressLineNumbers w:val="0"/>
        <w:shd w:val="clear" w:fill="FFFFFF"/>
        <w:kinsoku/>
        <w:overflowPunct/>
        <w:topLinePunct w:val="0"/>
        <w:autoSpaceDE/>
        <w:autoSpaceDN/>
        <w:bidi w:val="0"/>
        <w:adjustRightInd/>
        <w:snapToGrid/>
        <w:spacing w:line="560" w:lineRule="exact"/>
        <w:ind w:left="0" w:firstLine="0"/>
        <w:jc w:val="left"/>
        <w:textAlignment w:val="auto"/>
        <w:rPr>
          <w:rFonts w:hint="default"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i w:val="0"/>
          <w:caps w:val="0"/>
          <w:color w:val="333333"/>
          <w:spacing w:val="0"/>
          <w:kern w:val="0"/>
          <w:sz w:val="21"/>
          <w:szCs w:val="21"/>
          <w:shd w:val="clear" w:fill="FFFFFF"/>
          <w:lang w:val="en-US" w:eastAsia="zh-CN" w:bidi="ar"/>
        </w:rPr>
        <w:t>　　（四）处理决定认定侵权行为成立并需要责令侵权人立即停止侵权行为的，应当明确写明责令被请求人立即停止的侵权行为的类型、对象和范围；认定侵权行为不成立的，应当驳回请求人的请求；</w:t>
      </w:r>
    </w:p>
    <w:p>
      <w:pPr>
        <w:keepNext w:val="0"/>
        <w:keepLines w:val="0"/>
        <w:pageBreakBefore w:val="0"/>
        <w:widowControl/>
        <w:suppressLineNumbers w:val="0"/>
        <w:shd w:val="clear" w:fill="FFFFFF"/>
        <w:kinsoku/>
        <w:overflowPunct/>
        <w:topLinePunct w:val="0"/>
        <w:autoSpaceDE/>
        <w:autoSpaceDN/>
        <w:bidi w:val="0"/>
        <w:adjustRightInd/>
        <w:snapToGrid/>
        <w:spacing w:line="560" w:lineRule="exact"/>
        <w:ind w:left="0" w:firstLine="0"/>
        <w:jc w:val="left"/>
        <w:textAlignment w:val="auto"/>
        <w:rPr>
          <w:rFonts w:hint="default"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i w:val="0"/>
          <w:caps w:val="0"/>
          <w:color w:val="333333"/>
          <w:spacing w:val="0"/>
          <w:kern w:val="0"/>
          <w:sz w:val="21"/>
          <w:szCs w:val="21"/>
          <w:shd w:val="clear" w:fill="FFFFFF"/>
          <w:lang w:val="en-US" w:eastAsia="zh-CN" w:bidi="ar"/>
        </w:rPr>
        <w:t>　　（五）不服处理决定提起行政诉讼的途径和期限。</w:t>
      </w:r>
    </w:p>
    <w:p>
      <w:pPr>
        <w:keepNext w:val="0"/>
        <w:keepLines w:val="0"/>
        <w:pageBreakBefore w:val="0"/>
        <w:widowControl/>
        <w:suppressLineNumbers w:val="0"/>
        <w:shd w:val="clear" w:fill="FFFFFF"/>
        <w:kinsoku/>
        <w:overflowPunct/>
        <w:topLinePunct w:val="0"/>
        <w:autoSpaceDE/>
        <w:autoSpaceDN/>
        <w:bidi w:val="0"/>
        <w:adjustRightInd/>
        <w:snapToGrid/>
        <w:spacing w:line="560" w:lineRule="exact"/>
        <w:ind w:left="0" w:firstLine="0"/>
        <w:jc w:val="left"/>
        <w:textAlignment w:val="auto"/>
        <w:rPr>
          <w:rFonts w:hint="default"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i w:val="0"/>
          <w:caps w:val="0"/>
          <w:color w:val="333333"/>
          <w:spacing w:val="0"/>
          <w:kern w:val="0"/>
          <w:sz w:val="21"/>
          <w:szCs w:val="21"/>
          <w:shd w:val="clear" w:fill="FFFFFF"/>
          <w:lang w:val="en-US" w:eastAsia="zh-CN" w:bidi="ar"/>
        </w:rPr>
        <w:t>　　处理决定书应当加盖管理专利工作的部门的公章。</w:t>
      </w:r>
    </w:p>
    <w:p>
      <w:pPr>
        <w:keepNext w:val="0"/>
        <w:keepLines w:val="0"/>
        <w:pageBreakBefore w:val="0"/>
        <w:widowControl/>
        <w:tabs>
          <w:tab w:val="left" w:leader="underscore" w:pos="4022"/>
          <w:tab w:val="right" w:pos="9412"/>
        </w:tabs>
        <w:kinsoku/>
        <w:overflowPunct/>
        <w:topLinePunct w:val="0"/>
        <w:autoSpaceDE/>
        <w:autoSpaceDN/>
        <w:bidi w:val="0"/>
        <w:adjustRightInd/>
        <w:snapToGrid/>
        <w:spacing w:line="560" w:lineRule="exact"/>
        <w:ind w:left="0" w:leftChars="0" w:firstLine="0" w:firstLineChars="0"/>
        <w:textAlignment w:val="auto"/>
        <w:rPr>
          <w:rFonts w:hint="eastAsia" w:ascii="仿宋_GB2312" w:hAnsi="仿宋" w:eastAsia="仿宋_GB2312" w:cs="PMingLiU"/>
          <w:color w:val="000000"/>
          <w:kern w:val="0"/>
          <w:sz w:val="28"/>
          <w:szCs w:val="28"/>
          <w:lang w:val="en-GB"/>
        </w:rPr>
      </w:pPr>
      <w:r>
        <w:rPr>
          <w:rFonts w:hint="eastAsia" w:ascii="仿宋_GB2312" w:hAnsi="仿宋" w:eastAsia="仿宋_GB2312" w:cs="PMingLiU"/>
          <w:color w:val="000000"/>
          <w:kern w:val="0"/>
          <w:sz w:val="28"/>
          <w:szCs w:val="28"/>
          <w:lang w:val="en-GB"/>
        </w:rPr>
        <w:t>《中华人民共和国专利法》</w:t>
      </w:r>
    </w:p>
    <w:p>
      <w:pPr>
        <w:keepNext w:val="0"/>
        <w:keepLines w:val="0"/>
        <w:pageBreakBefore w:val="0"/>
        <w:widowControl/>
        <w:suppressLineNumbers w:val="0"/>
        <w:shd w:val="clear" w:fill="FFFFFF"/>
        <w:kinsoku/>
        <w:overflowPunct/>
        <w:topLinePunct w:val="0"/>
        <w:autoSpaceDE/>
        <w:autoSpaceDN/>
        <w:bidi w:val="0"/>
        <w:adjustRightInd/>
        <w:snapToGrid/>
        <w:spacing w:line="560" w:lineRule="exact"/>
        <w:ind w:left="0" w:firstLine="0"/>
        <w:jc w:val="left"/>
        <w:textAlignment w:val="auto"/>
        <w:rPr>
          <w:rFonts w:hint="default" w:ascii="Arial" w:hAnsi="Arial" w:cs="Arial"/>
          <w:i w:val="0"/>
          <w:caps w:val="0"/>
          <w:color w:val="333333"/>
          <w:spacing w:val="0"/>
          <w:sz w:val="21"/>
          <w:szCs w:val="21"/>
        </w:rPr>
      </w:pPr>
      <w:r>
        <w:rPr>
          <w:rFonts w:hint="default" w:ascii="Arial" w:hAnsi="Arial" w:eastAsia="宋体" w:cs="Arial"/>
          <w:b/>
          <w:i w:val="0"/>
          <w:caps w:val="0"/>
          <w:color w:val="333333"/>
          <w:spacing w:val="0"/>
          <w:kern w:val="0"/>
          <w:sz w:val="21"/>
          <w:szCs w:val="21"/>
          <w:shd w:val="clear" w:fill="FFFFFF"/>
          <w:lang w:val="en-US" w:eastAsia="zh-CN" w:bidi="ar"/>
        </w:rPr>
        <w:t>第六十</w:t>
      </w:r>
      <w:r>
        <w:rPr>
          <w:rFonts w:hint="eastAsia" w:ascii="Arial" w:hAnsi="Arial" w:eastAsia="宋体" w:cs="Arial"/>
          <w:b/>
          <w:i w:val="0"/>
          <w:caps w:val="0"/>
          <w:color w:val="333333"/>
          <w:spacing w:val="0"/>
          <w:kern w:val="0"/>
          <w:sz w:val="21"/>
          <w:szCs w:val="21"/>
          <w:shd w:val="clear" w:fill="FFFFFF"/>
          <w:lang w:val="en-US" w:eastAsia="zh-CN" w:bidi="ar"/>
        </w:rPr>
        <w:t>五</w:t>
      </w:r>
      <w:r>
        <w:rPr>
          <w:rFonts w:hint="default" w:ascii="Arial" w:hAnsi="Arial" w:eastAsia="宋体" w:cs="Arial"/>
          <w:b/>
          <w:i w:val="0"/>
          <w:caps w:val="0"/>
          <w:color w:val="333333"/>
          <w:spacing w:val="0"/>
          <w:kern w:val="0"/>
          <w:sz w:val="21"/>
          <w:szCs w:val="21"/>
          <w:shd w:val="clear" w:fill="FFFFFF"/>
          <w:lang w:val="en-US" w:eastAsia="zh-CN" w:bidi="ar"/>
        </w:rPr>
        <w:t>条</w:t>
      </w:r>
      <w:r>
        <w:rPr>
          <w:rFonts w:hint="eastAsia" w:ascii="Arial" w:hAnsi="Arial" w:eastAsia="宋体" w:cs="Arial"/>
          <w:b/>
          <w:i w:val="0"/>
          <w:caps w:val="0"/>
          <w:color w:val="333333"/>
          <w:spacing w:val="0"/>
          <w:kern w:val="0"/>
          <w:sz w:val="21"/>
          <w:szCs w:val="21"/>
          <w:shd w:val="clear" w:fill="FFFFFF"/>
          <w:lang w:val="en-US" w:eastAsia="zh-CN" w:bidi="ar"/>
        </w:rPr>
        <w:t xml:space="preserve"> </w:t>
      </w:r>
      <w:r>
        <w:rPr>
          <w:rFonts w:hint="default" w:ascii="Arial" w:hAnsi="Arial" w:eastAsia="宋体" w:cs="Arial"/>
          <w:i w:val="0"/>
          <w:caps w:val="0"/>
          <w:color w:val="333333"/>
          <w:spacing w:val="0"/>
          <w:kern w:val="0"/>
          <w:sz w:val="21"/>
          <w:szCs w:val="21"/>
          <w:shd w:val="clear" w:fill="FFFFFF"/>
          <w:lang w:val="en-US" w:eastAsia="zh-CN" w:bidi="ar"/>
        </w:rPr>
        <w:t>未经专利权人许可，实施其专利，即侵犯其专利权，引起纠纷的，由当事人协商解决；不愿协商或者协商不成的，专利权人或者利害关系人可以向人民法院起诉，也可以请求管理专利工作的部门处理。管理专利工作的部门处理时，认定侵权行为成立的，可以责令侵权人立即停止侵权行为，当事人不服的，可以自收到处理通知之日起十五日内依照《中华人民共和国行政诉讼法》向人民法院起诉；侵权人期满不起诉又不停止侵权行为的，管理专利工作的部门可以申请人民法院强制执行。进行处理的管理专利工作的部门应当事人的请求，可以就侵犯专利权的赔偿数额进行调解；调解不成的，当事人可以依照《中华人民共和国民事诉讼法》向人民法院起诉。</w:t>
      </w:r>
    </w:p>
    <w:p>
      <w:pPr>
        <w:keepNext w:val="0"/>
        <w:keepLines w:val="0"/>
        <w:pageBreakBefore w:val="0"/>
        <w:widowControl/>
        <w:suppressLineNumbers w:val="0"/>
        <w:shd w:val="clear" w:fill="FFFFFF"/>
        <w:kinsoku/>
        <w:overflowPunct/>
        <w:topLinePunct w:val="0"/>
        <w:autoSpaceDE/>
        <w:autoSpaceDN/>
        <w:bidi w:val="0"/>
        <w:adjustRightInd/>
        <w:snapToGrid/>
        <w:spacing w:after="225" w:afterAutospacing="0" w:line="560" w:lineRule="exact"/>
        <w:ind w:left="0" w:firstLine="420"/>
        <w:jc w:val="left"/>
        <w:textAlignment w:val="auto"/>
        <w:rPr>
          <w:rFonts w:hint="default" w:ascii="Arial" w:hAnsi="Arial" w:eastAsia="宋体" w:cs="Arial"/>
          <w:i w:val="0"/>
          <w:caps w:val="0"/>
          <w:color w:val="333333"/>
          <w:spacing w:val="0"/>
          <w:kern w:val="0"/>
          <w:sz w:val="21"/>
          <w:szCs w:val="21"/>
          <w:shd w:val="clear" w:fill="FFFFFF"/>
          <w:lang w:val="en-US" w:eastAsia="zh-CN" w:bidi="ar"/>
        </w:rPr>
      </w:pPr>
    </w:p>
    <w:p>
      <w:pPr>
        <w:keepNext w:val="0"/>
        <w:keepLines w:val="0"/>
        <w:pageBreakBefore w:val="0"/>
        <w:widowControl/>
        <w:tabs>
          <w:tab w:val="left" w:leader="underscore" w:pos="4022"/>
          <w:tab w:val="right" w:pos="9412"/>
        </w:tabs>
        <w:kinsoku/>
        <w:overflowPunct/>
        <w:topLinePunct w:val="0"/>
        <w:autoSpaceDE/>
        <w:autoSpaceDN/>
        <w:bidi w:val="0"/>
        <w:adjustRightInd/>
        <w:snapToGrid/>
        <w:spacing w:line="560" w:lineRule="exact"/>
        <w:ind w:left="0" w:leftChars="0" w:firstLine="0" w:firstLineChars="0"/>
        <w:textAlignment w:val="auto"/>
        <w:rPr>
          <w:rFonts w:hint="eastAsia" w:ascii="仿宋_GB2312" w:hAnsi="仿宋" w:eastAsia="仿宋_GB2312" w:cs="PMingLiU"/>
          <w:color w:val="000000"/>
          <w:kern w:val="0"/>
          <w:sz w:val="28"/>
          <w:szCs w:val="28"/>
          <w:lang w:val="en-US" w:eastAsia="zh-CN"/>
        </w:rPr>
      </w:pPr>
    </w:p>
    <w:p>
      <w:pPr>
        <w:keepNext w:val="0"/>
        <w:keepLines w:val="0"/>
        <w:pageBreakBefore w:val="0"/>
        <w:widowControl/>
        <w:tabs>
          <w:tab w:val="left" w:leader="underscore" w:pos="4022"/>
          <w:tab w:val="right" w:pos="9412"/>
        </w:tabs>
        <w:kinsoku/>
        <w:overflowPunct/>
        <w:topLinePunct w:val="0"/>
        <w:autoSpaceDE/>
        <w:autoSpaceDN/>
        <w:bidi w:val="0"/>
        <w:adjustRightInd/>
        <w:snapToGrid/>
        <w:spacing w:line="560" w:lineRule="exact"/>
        <w:ind w:left="0" w:leftChars="0" w:firstLine="0" w:firstLineChars="0"/>
        <w:textAlignment w:val="auto"/>
        <w:rPr>
          <w:rFonts w:hint="eastAsia" w:ascii="仿宋_GB2312" w:hAnsi="仿宋" w:eastAsia="仿宋_GB2312" w:cs="PMingLiU"/>
          <w:color w:val="000000"/>
          <w:kern w:val="0"/>
          <w:sz w:val="28"/>
          <w:szCs w:val="28"/>
          <w:u w:val="none"/>
          <w:lang w:val="en-GB"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E2EF527A-5175-4B49-AD4F-F03751E07B06}"/>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PMingLiU">
    <w:altName w:val="PMingLiU-ExtB"/>
    <w:panose1 w:val="02020500000000000000"/>
    <w:charset w:val="88"/>
    <w:family w:val="roman"/>
    <w:pitch w:val="default"/>
    <w:sig w:usb0="00000000" w:usb1="00000000" w:usb2="00000016" w:usb3="00000000" w:csb0="00100001" w:csb1="00000000"/>
    <w:embedRegular r:id="rId2" w:fontKey="{819F80BF-5242-437B-9BE2-331A02BE16E1}"/>
  </w:font>
  <w:font w:name="方正小标宋_GBK">
    <w:panose1 w:val="02000000000000000000"/>
    <w:charset w:val="86"/>
    <w:family w:val="script"/>
    <w:pitch w:val="default"/>
    <w:sig w:usb0="00000001" w:usb1="080E0000" w:usb2="00000000" w:usb3="00000000" w:csb0="00040000" w:csb1="00000000"/>
    <w:embedRegular r:id="rId3" w:fontKey="{AC431EE2-B2FC-4F2A-83D2-9E621FCDFF37}"/>
  </w:font>
  <w:font w:name="仿宋">
    <w:panose1 w:val="02010609060101010101"/>
    <w:charset w:val="86"/>
    <w:family w:val="modern"/>
    <w:pitch w:val="default"/>
    <w:sig w:usb0="800002BF" w:usb1="38CF7CFA" w:usb2="00000016" w:usb3="00000000" w:csb0="00040001" w:csb1="00000000"/>
    <w:embedRegular r:id="rId4" w:fontKey="{D8A674D3-0C88-4918-B9E7-2C5CDA9408F8}"/>
  </w:font>
  <w:font w:name="仿宋_GB2312">
    <w:panose1 w:val="02010609030101010101"/>
    <w:charset w:val="86"/>
    <w:family w:val="modern"/>
    <w:pitch w:val="default"/>
    <w:sig w:usb0="00000001" w:usb1="080E0000" w:usb2="00000000" w:usb3="00000000" w:csb0="00040000" w:csb1="00000000"/>
    <w:embedRegular r:id="rId5" w:fontKey="{64035FAB-F4F3-4115-94FF-B5531A706E74}"/>
  </w:font>
  <w:font w:name="Microsoft JhengHei">
    <w:panose1 w:val="020B0604030504040204"/>
    <w:charset w:val="88"/>
    <w:family w:val="swiss"/>
    <w:pitch w:val="default"/>
    <w:sig w:usb0="000002A7" w:usb1="28CF4400" w:usb2="00000016" w:usb3="00000000" w:csb0="00100009" w:csb1="00000000"/>
    <w:embedRegular r:id="rId6" w:fontKey="{7F696B77-DCDC-4F14-8D0B-A3DD693FB118}"/>
  </w:font>
  <w:font w:name="微软雅黑">
    <w:panose1 w:val="020B0503020204020204"/>
    <w:charset w:val="86"/>
    <w:family w:val="auto"/>
    <w:pitch w:val="default"/>
    <w:sig w:usb0="80000287" w:usb1="2ACF3C50" w:usb2="00000016" w:usb3="00000000" w:csb0="0004001F" w:csb1="00000000"/>
  </w:font>
  <w:font w:name="PMingLiU-ExtB">
    <w:panose1 w:val="02020500000000000000"/>
    <w:charset w:val="88"/>
    <w:family w:val="auto"/>
    <w:pitch w:val="default"/>
    <w:sig w:usb0="8000002F" w:usb1="02000008" w:usb2="00000000" w:usb3="00000000" w:csb0="001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k3ZmU5ZWRjNzE0MjBjZTdmNDk0MjNiOGRkZDQ4OTAifQ=="/>
  </w:docVars>
  <w:rsids>
    <w:rsidRoot w:val="103420FA"/>
    <w:rsid w:val="034F7D5E"/>
    <w:rsid w:val="03E3608D"/>
    <w:rsid w:val="057579EE"/>
    <w:rsid w:val="08B3595E"/>
    <w:rsid w:val="0B7C0A52"/>
    <w:rsid w:val="0C922276"/>
    <w:rsid w:val="0EF00FCD"/>
    <w:rsid w:val="10053AA3"/>
    <w:rsid w:val="103420FA"/>
    <w:rsid w:val="115D78F6"/>
    <w:rsid w:val="1D062161"/>
    <w:rsid w:val="22FD272A"/>
    <w:rsid w:val="23F87A6E"/>
    <w:rsid w:val="24DB3599"/>
    <w:rsid w:val="256E3481"/>
    <w:rsid w:val="2ABB110E"/>
    <w:rsid w:val="2D7324E7"/>
    <w:rsid w:val="32A45CA2"/>
    <w:rsid w:val="3311530B"/>
    <w:rsid w:val="3E371C5A"/>
    <w:rsid w:val="3F5E7AA5"/>
    <w:rsid w:val="411918CB"/>
    <w:rsid w:val="418C2EAA"/>
    <w:rsid w:val="44E75D1C"/>
    <w:rsid w:val="450F327B"/>
    <w:rsid w:val="461D2CD7"/>
    <w:rsid w:val="476B5BB2"/>
    <w:rsid w:val="479542C5"/>
    <w:rsid w:val="506B69D9"/>
    <w:rsid w:val="55FD6A79"/>
    <w:rsid w:val="57E0466E"/>
    <w:rsid w:val="5826110D"/>
    <w:rsid w:val="5D340390"/>
    <w:rsid w:val="5E3D483D"/>
    <w:rsid w:val="5EF40F29"/>
    <w:rsid w:val="628437B7"/>
    <w:rsid w:val="65823054"/>
    <w:rsid w:val="69C1084A"/>
    <w:rsid w:val="6FAA5EFF"/>
    <w:rsid w:val="747B274B"/>
    <w:rsid w:val="753C44CA"/>
    <w:rsid w:val="7BEB7769"/>
    <w:rsid w:val="7D621902"/>
    <w:rsid w:val="7D6B16D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type="paragraph" w:styleId="2">
    <w:name w:val="Normal (Web)"/>
    <w:basedOn w:val="1"/>
    <w:qFormat/>
    <w:uiPriority w:val="0"/>
    <w:pPr>
      <w:spacing w:before="0" w:beforeAutospacing="1" w:after="0" w:afterAutospacing="1"/>
      <w:ind w:left="0" w:right="0"/>
      <w:jc w:val="left"/>
    </w:pPr>
    <w:rPr>
      <w:kern w:val="0"/>
      <w:sz w:val="24"/>
      <w:lang w:val="en-US" w:eastAsia="zh-CN" w:bidi="ar"/>
    </w:rPr>
  </w:style>
  <w:style w:type="table" w:styleId="4">
    <w:name w:val="Table Grid"/>
    <w:basedOn w:val="3"/>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6">
    <w:name w:val="Hyperlink"/>
    <w:basedOn w:val="5"/>
    <w:qFormat/>
    <w:uiPriority w:val="0"/>
    <w:rPr>
      <w:color w:val="0000FF"/>
      <w:u w:val="single"/>
    </w:rPr>
  </w:style>
  <w:style w:type="paragraph" w:customStyle="1" w:styleId="7">
    <w:name w:val="MSG_EN_FONT_STYLE_NAME_TEMPLATE_ROLE_NUMBER MSG_EN_FONT_STYLE_NAME_BY_ROLE_TEXT 3"/>
    <w:qFormat/>
    <w:uiPriority w:val="0"/>
    <w:pPr>
      <w:widowControl w:val="0"/>
      <w:shd w:val="clear" w:color="auto" w:fill="FFFFFF"/>
      <w:spacing w:before="1860" w:line="170" w:lineRule="exact"/>
      <w:jc w:val="distribute"/>
    </w:pPr>
    <w:rPr>
      <w:rFonts w:ascii="PMingLiU" w:hAnsi="PMingLiU" w:eastAsia="PMingLiU" w:cs="Times New Roman"/>
      <w:sz w:val="17"/>
      <w:szCs w:val="17"/>
      <w:lang w:val="en-GB" w:eastAsia="en-US" w:bidi="ar-SA"/>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5</Pages>
  <Words>2330</Words>
  <Characters>2461</Characters>
  <Lines>0</Lines>
  <Paragraphs>0</Paragraphs>
  <TotalTime>12</TotalTime>
  <ScaleCrop>false</ScaleCrop>
  <LinksUpToDate>false</LinksUpToDate>
  <CharactersWithSpaces>2488</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2020-12-14T01:38:00Z</dcterms:created>
  <dc:creator>阿呆</dc:creator>
  <cp:lastModifiedBy>赵嘉晴</cp:lastModifiedBy>
  <dcterms:modified xsi:type="dcterms:W3CDTF">2023-07-27T08:31:10Z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7994B187FD8D4BD188BC12CB7AD437BC_12</vt:lpwstr>
  </property>
</Properties>
</file>