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line="336" w:lineRule="auto"/>
        <w:jc w:val="center"/>
        <w:rPr>
          <w:rFonts w:ascii="方正小标宋_GBK" w:hAnsi="宋体" w:eastAsia="方正小标宋_GBK" w:cs="Times New Roman"/>
          <w:color w:val="000000"/>
          <w:spacing w:val="6"/>
          <w:kern w:val="0"/>
          <w:sz w:val="36"/>
          <w:szCs w:val="36"/>
          <w:lang w:val="en-GB"/>
        </w:rPr>
      </w:pPr>
      <w:bookmarkStart w:id="2" w:name="_GoBack"/>
      <w:bookmarkEnd w:id="2"/>
      <w:r>
        <w:rPr>
          <w:rFonts w:ascii="方正小标宋_GBK" w:hAnsi="宋体" w:eastAsia="方正小标宋_GBK" w:cs="Times New Roman"/>
          <w:color w:val="000000"/>
          <w:spacing w:val="6"/>
          <w:kern w:val="0"/>
          <w:sz w:val="36"/>
          <w:szCs w:val="36"/>
          <w:lang w:val="en-GB"/>
        </w:rPr>
        <w:t>专利侵权纠纷案件</w:t>
      </w:r>
      <w:r>
        <w:rPr>
          <w:rFonts w:hint="eastAsia" w:ascii="方正小标宋_GBK" w:hAnsi="宋体" w:eastAsia="方正小标宋_GBK" w:cs="Times New Roman"/>
          <w:color w:val="000000"/>
          <w:spacing w:val="6"/>
          <w:kern w:val="0"/>
          <w:sz w:val="36"/>
          <w:szCs w:val="36"/>
          <w:lang w:val="en-GB"/>
        </w:rPr>
        <w:t>行政裁决</w:t>
      </w:r>
      <w:r>
        <w:rPr>
          <w:rFonts w:ascii="方正小标宋_GBK" w:hAnsi="宋体" w:eastAsia="方正小标宋_GBK" w:cs="Times New Roman"/>
          <w:color w:val="000000"/>
          <w:spacing w:val="6"/>
          <w:kern w:val="0"/>
          <w:sz w:val="36"/>
          <w:szCs w:val="36"/>
          <w:lang w:val="en-GB"/>
        </w:rPr>
        <w:t>书</w:t>
      </w:r>
    </w:p>
    <w:p>
      <w:pPr>
        <w:spacing w:line="336" w:lineRule="auto"/>
        <w:jc w:val="right"/>
        <w:rPr>
          <w:rFonts w:hint="eastAsia" w:ascii="仿宋" w:hAnsi="仿宋" w:eastAsia="仿宋_GB2312" w:cs="Times New Roman"/>
          <w:color w:val="000000"/>
          <w:kern w:val="0"/>
          <w:szCs w:val="21"/>
          <w:lang w:val="en-GB"/>
        </w:rPr>
      </w:pPr>
      <w:r>
        <w:rPr>
          <w:rFonts w:ascii="仿宋" w:hAnsi="仿宋" w:eastAsia="仿宋_GB2312" w:cs="Times New Roman"/>
          <w:color w:val="000000"/>
          <w:kern w:val="0"/>
          <w:szCs w:val="21"/>
          <w:lang w:val="en-GB"/>
        </w:rPr>
        <w:t>案号：</w:t>
      </w:r>
      <w:r>
        <w:rPr>
          <w:rFonts w:hint="eastAsia" w:ascii="仿宋" w:hAnsi="仿宋" w:eastAsia="仿宋_GB2312" w:cs="Times New Roman"/>
          <w:color w:val="000000"/>
          <w:kern w:val="0"/>
          <w:szCs w:val="21"/>
          <w:lang w:val="en-GB" w:eastAsia="zh-CN"/>
        </w:rPr>
        <w:t>粤深知法裁字【2023】光明00</w:t>
      </w:r>
      <w:r>
        <w:rPr>
          <w:rFonts w:hint="eastAsia" w:ascii="仿宋" w:hAnsi="仿宋" w:eastAsia="仿宋_GB2312" w:cs="Times New Roman"/>
          <w:color w:val="000000"/>
          <w:kern w:val="0"/>
          <w:szCs w:val="21"/>
          <w:lang w:val="en-US" w:eastAsia="zh-CN"/>
        </w:rPr>
        <w:t>3</w:t>
      </w:r>
      <w:r>
        <w:rPr>
          <w:rFonts w:hint="eastAsia" w:ascii="仿宋" w:hAnsi="仿宋" w:eastAsia="仿宋_GB2312" w:cs="Times New Roman"/>
          <w:color w:val="000000"/>
          <w:kern w:val="0"/>
          <w:szCs w:val="21"/>
          <w:lang w:val="en-GB" w:eastAsia="zh-CN"/>
        </w:rPr>
        <w:t>号</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请求人：苹果电脑贸易（上海）有限公司</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法定代表人</w:t>
      </w:r>
      <w:r>
        <w:rPr>
          <w:rFonts w:hint="eastAsia" w:ascii="仿宋_GB2312" w:hAnsi="仿宋" w:eastAsia="仿宋_GB2312" w:cs="PMingLiU"/>
          <w:color w:val="000000"/>
          <w:kern w:val="0"/>
          <w:sz w:val="21"/>
          <w:szCs w:val="21"/>
          <w:lang w:val="en-US" w:eastAsia="zh-CN" w:bidi="en-US"/>
        </w:rPr>
        <w:t>（</w:t>
      </w:r>
      <w:r>
        <w:rPr>
          <w:rFonts w:hint="eastAsia" w:ascii="仿宋_GB2312" w:hAnsi="仿宋" w:eastAsia="仿宋_GB2312" w:cs="PMingLiU"/>
          <w:color w:val="000000"/>
          <w:kern w:val="0"/>
          <w:sz w:val="21"/>
          <w:szCs w:val="21"/>
          <w:lang w:val="en-GB" w:eastAsia="zh-CN"/>
        </w:rPr>
        <w:t>负责人</w:t>
      </w:r>
      <w:r>
        <w:rPr>
          <w:rFonts w:hint="eastAsia" w:ascii="仿宋_GB2312" w:hAnsi="仿宋" w:eastAsia="仿宋_GB2312" w:cs="PMingLiU"/>
          <w:color w:val="000000"/>
          <w:kern w:val="0"/>
          <w:sz w:val="21"/>
          <w:szCs w:val="21"/>
          <w:lang w:val="en-US" w:eastAsia="zh-CN" w:bidi="en-US"/>
        </w:rPr>
        <w:t>）：PETER RONALD DENW00D</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住所：中国（上海）自由贸易试验区马吉路88号C区6号楼全幢</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委托代理人：姜栋</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被请求人：深圳市普建达电子有限公司</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法定代表人</w:t>
      </w:r>
      <w:r>
        <w:rPr>
          <w:rFonts w:hint="eastAsia" w:ascii="仿宋_GB2312" w:hAnsi="仿宋" w:eastAsia="仿宋_GB2312" w:cs="PMingLiU"/>
          <w:color w:val="000000"/>
          <w:kern w:val="0"/>
          <w:sz w:val="21"/>
          <w:szCs w:val="21"/>
          <w:lang w:val="en-US" w:eastAsia="zh-CN" w:bidi="en-US"/>
        </w:rPr>
        <w:t>（</w:t>
      </w:r>
      <w:r>
        <w:rPr>
          <w:rFonts w:hint="eastAsia" w:ascii="仿宋_GB2312" w:hAnsi="仿宋" w:eastAsia="仿宋_GB2312" w:cs="PMingLiU"/>
          <w:color w:val="000000"/>
          <w:kern w:val="0"/>
          <w:sz w:val="21"/>
          <w:szCs w:val="21"/>
          <w:lang w:val="en-GB" w:eastAsia="zh-CN"/>
        </w:rPr>
        <w:t>负责人</w:t>
      </w:r>
      <w:r>
        <w:rPr>
          <w:rFonts w:hint="eastAsia" w:ascii="仿宋_GB2312" w:hAnsi="仿宋" w:eastAsia="仿宋_GB2312" w:cs="PMingLiU"/>
          <w:color w:val="000000"/>
          <w:kern w:val="0"/>
          <w:sz w:val="21"/>
          <w:szCs w:val="21"/>
          <w:lang w:val="en-US" w:eastAsia="zh-CN" w:bidi="en-US"/>
        </w:rPr>
        <w:t>）：廖建军</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住所：深圳市光明区新湖街道楼村社区楼一工五路4号第1栋501</w:t>
      </w:r>
    </w:p>
    <w:p>
      <w:pPr>
        <w:widowControl/>
        <w:spacing w:line="336" w:lineRule="auto"/>
        <w:ind w:firstLine="420" w:firstLineChars="200"/>
        <w:jc w:val="left"/>
        <w:rPr>
          <w:rFonts w:ascii="仿宋_GB2312" w:hAnsi="仿宋" w:eastAsia="仿宋_GB2312" w:cs="PMingLiU"/>
          <w:color w:val="000000"/>
          <w:kern w:val="0"/>
          <w:sz w:val="21"/>
          <w:szCs w:val="21"/>
          <w:u w:val="none"/>
          <w:lang w:val="en-GB" w:eastAsia="zh-CN"/>
        </w:rPr>
      </w:pPr>
      <w:r>
        <w:rPr>
          <w:rFonts w:hint="eastAsia" w:ascii="仿宋_GB2312" w:hAnsi="仿宋" w:eastAsia="仿宋_GB2312" w:cs="PMingLiU"/>
          <w:color w:val="000000"/>
          <w:kern w:val="0"/>
          <w:sz w:val="21"/>
          <w:szCs w:val="21"/>
          <w:u w:val="none"/>
          <w:lang w:val="en-GB" w:eastAsia="zh-CN"/>
        </w:rPr>
        <w:t>案由：“苹果电脑贸易（上海）有限公司请求处理深圳市普建达电子有限公司涉嫌侵犯耳机外观设计专利权纠纷案”</w:t>
      </w:r>
      <w:r>
        <w:rPr>
          <w:rFonts w:hint="eastAsia" w:ascii="仿宋_GB2312" w:hAnsi="仿宋" w:eastAsia="仿宋_GB2312" w:cs="PMingLiU"/>
          <w:color w:val="000000"/>
          <w:kern w:val="0"/>
          <w:sz w:val="21"/>
          <w:szCs w:val="21"/>
          <w:u w:val="none"/>
          <w:lang w:val="en-US" w:eastAsia="zh-CN" w:bidi="en-US"/>
        </w:rPr>
        <w:t>（</w:t>
      </w:r>
      <w:r>
        <w:rPr>
          <w:rFonts w:hint="eastAsia" w:ascii="仿宋_GB2312" w:hAnsi="仿宋" w:eastAsia="仿宋_GB2312" w:cs="PMingLiU"/>
          <w:color w:val="000000"/>
          <w:kern w:val="0"/>
          <w:sz w:val="21"/>
          <w:szCs w:val="21"/>
          <w:u w:val="none"/>
          <w:lang w:val="en-GB" w:eastAsia="zh-CN"/>
        </w:rPr>
        <w:t>专利号：ZL202030075816.7</w:t>
      </w:r>
      <w:r>
        <w:rPr>
          <w:rFonts w:hint="eastAsia" w:ascii="仿宋_GB2312" w:hAnsi="仿宋" w:eastAsia="仿宋_GB2312" w:cs="PMingLiU"/>
          <w:color w:val="000000"/>
          <w:kern w:val="0"/>
          <w:sz w:val="21"/>
          <w:szCs w:val="21"/>
          <w:u w:val="none"/>
          <w:lang w:val="en-US" w:eastAsia="zh-CN" w:bidi="en-US"/>
        </w:rPr>
        <w:t>）</w:t>
      </w:r>
      <w:r>
        <w:rPr>
          <w:rFonts w:hint="eastAsia" w:ascii="仿宋_GB2312" w:hAnsi="仿宋" w:eastAsia="仿宋_GB2312" w:cs="PMingLiU"/>
          <w:color w:val="000000"/>
          <w:kern w:val="0"/>
          <w:sz w:val="21"/>
          <w:szCs w:val="21"/>
          <w:u w:val="none"/>
          <w:lang w:val="en-GB" w:eastAsia="zh-CN"/>
        </w:rPr>
        <w:t>专利侵权纠纷</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请求人向本局请求：责令被请求人深圳市普建达电子有限公司停止生产、销售、代理销售、许诺销售、进出口侵犯专利权人第ZL202030075816.7号外观设计专利权的侵权产品；</w:t>
      </w:r>
      <w:r>
        <w:rPr>
          <w:rFonts w:hint="eastAsia" w:ascii="仿宋_GB2312" w:hAnsi="仿宋" w:eastAsia="仿宋_GB2312" w:cs="PMingLiU"/>
          <w:color w:val="000000"/>
          <w:kern w:val="0"/>
          <w:sz w:val="21"/>
          <w:szCs w:val="21"/>
          <w:lang w:val="en-US" w:eastAsia="zh-CN"/>
        </w:rPr>
        <w:t>请求</w:t>
      </w:r>
      <w:r>
        <w:rPr>
          <w:rFonts w:hint="eastAsia" w:ascii="仿宋_GB2312" w:hAnsi="仿宋" w:eastAsia="仿宋_GB2312" w:cs="PMingLiU"/>
          <w:color w:val="000000"/>
          <w:kern w:val="0"/>
          <w:sz w:val="21"/>
          <w:szCs w:val="21"/>
          <w:lang w:val="en-GB" w:eastAsia="zh-CN"/>
        </w:rPr>
        <w:t>被请求人封存、没收并销毁其现已生产库存的侵权产品及半成品、专门用于生产侵权产品的设备、模具和材料，以及与侵权产品有关的宣传广告材料、包装盒、说明书及配件。</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本局受理请求人的行政处理请求后，于2023年3月28日依法对被请求人深圳市普建达电子有限公司位于深圳市光明区新湖街道楼村社区楼一工五路4号第1栋501的经营场所进行了现场检查，并于现场检查的同时，依法向被请求人送达了ZL202030075816.7号外观设计专利侵权纠纷请求副本。经现场检查发现有</w:t>
      </w:r>
      <w:r>
        <w:rPr>
          <w:rFonts w:hint="eastAsia" w:ascii="仿宋_GB2312" w:hAnsi="仿宋" w:eastAsia="仿宋_GB2312" w:cs="PMingLiU"/>
          <w:color w:val="000000"/>
          <w:kern w:val="0"/>
          <w:sz w:val="21"/>
          <w:szCs w:val="21"/>
          <w:lang w:val="en-US" w:eastAsia="zh-CN"/>
        </w:rPr>
        <w:t>与</w:t>
      </w:r>
      <w:r>
        <w:rPr>
          <w:rFonts w:hint="eastAsia" w:ascii="仿宋_GB2312" w:hAnsi="仿宋" w:eastAsia="仿宋_GB2312" w:cs="PMingLiU"/>
          <w:color w:val="000000"/>
          <w:kern w:val="0"/>
          <w:sz w:val="21"/>
          <w:szCs w:val="21"/>
          <w:lang w:val="en-GB" w:eastAsia="zh-CN"/>
        </w:rPr>
        <w:t>ZL202030075816.7号外观设计专利相关的耳机产品（</w:t>
      </w:r>
      <w:r>
        <w:rPr>
          <w:rFonts w:hint="eastAsia" w:ascii="仿宋_GB2312" w:hAnsi="仿宋" w:eastAsia="仿宋_GB2312" w:cs="PMingLiU"/>
          <w:color w:val="000000"/>
          <w:kern w:val="0"/>
          <w:sz w:val="21"/>
          <w:szCs w:val="21"/>
          <w:lang w:val="en-US" w:eastAsia="zh-CN"/>
        </w:rPr>
        <w:t>型号：AP3</w:t>
      </w:r>
      <w:r>
        <w:rPr>
          <w:rFonts w:hint="eastAsia" w:ascii="仿宋_GB2312" w:hAnsi="仿宋" w:eastAsia="仿宋_GB2312" w:cs="PMingLiU"/>
          <w:color w:val="000000"/>
          <w:kern w:val="0"/>
          <w:sz w:val="21"/>
          <w:szCs w:val="21"/>
          <w:lang w:val="en-GB" w:eastAsia="zh-CN"/>
        </w:rPr>
        <w:t>）。我局人员对上述产品予以抽样、拍照取证，同时制作了现场检查笔录，现场送达了《答辩通知书》、《专利侵权纠纷案件抽样取证决定》、《专利抽样取证清单》等相关材料，被请求人公司法定代表人廖建军陪同检查并签字确认。</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被请求人在收到《答辩通知书》后，</w:t>
      </w:r>
      <w:r>
        <w:rPr>
          <w:rFonts w:hint="eastAsia" w:ascii="仿宋_GB2312" w:hAnsi="仿宋" w:eastAsia="仿宋_GB2312" w:cs="PMingLiU"/>
          <w:color w:val="000000"/>
          <w:kern w:val="0"/>
          <w:sz w:val="21"/>
          <w:szCs w:val="21"/>
          <w:lang w:val="en-US" w:eastAsia="zh-CN"/>
        </w:rPr>
        <w:t>未</w:t>
      </w:r>
      <w:r>
        <w:rPr>
          <w:rFonts w:hint="eastAsia" w:ascii="仿宋_GB2312" w:hAnsi="仿宋" w:eastAsia="仿宋_GB2312" w:cs="PMingLiU"/>
          <w:color w:val="000000"/>
          <w:kern w:val="0"/>
          <w:sz w:val="21"/>
          <w:szCs w:val="21"/>
          <w:lang w:val="en-GB" w:eastAsia="zh-CN"/>
        </w:rPr>
        <w:t>在规定的期限内未</w:t>
      </w:r>
      <w:r>
        <w:rPr>
          <w:rFonts w:hint="eastAsia" w:ascii="仿宋_GB2312" w:hAnsi="仿宋" w:eastAsia="仿宋_GB2312" w:cs="PMingLiU"/>
          <w:color w:val="000000"/>
          <w:kern w:val="0"/>
          <w:sz w:val="21"/>
          <w:szCs w:val="21"/>
          <w:lang w:val="en-US" w:eastAsia="zh-CN"/>
        </w:rPr>
        <w:t>提交相关的答辩材料</w:t>
      </w:r>
      <w:r>
        <w:rPr>
          <w:rFonts w:hint="eastAsia" w:ascii="仿宋_GB2312" w:hAnsi="仿宋" w:eastAsia="仿宋_GB2312" w:cs="PMingLiU"/>
          <w:color w:val="000000"/>
          <w:kern w:val="0"/>
          <w:sz w:val="21"/>
          <w:szCs w:val="21"/>
          <w:lang w:val="en-GB" w:eastAsia="zh-CN"/>
        </w:rPr>
        <w:t>。</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经审理查明：</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1、</w:t>
      </w:r>
      <w:r>
        <w:rPr>
          <w:rFonts w:hint="eastAsia" w:ascii="仿宋_GB2312" w:hAnsi="仿宋" w:eastAsia="仿宋_GB2312" w:cs="PMingLiU"/>
          <w:color w:val="000000"/>
          <w:kern w:val="0"/>
          <w:sz w:val="21"/>
          <w:szCs w:val="21"/>
          <w:lang w:val="en-GB" w:eastAsia="zh-CN"/>
        </w:rPr>
        <w:t>涉案产品与涉案外观设计专利产品，均是耳机，</w:t>
      </w:r>
      <w:r>
        <w:rPr>
          <w:rFonts w:hint="eastAsia" w:ascii="仿宋_GB2312" w:hAnsi="仿宋" w:eastAsia="仿宋_GB2312" w:cs="PMingLiU"/>
          <w:color w:val="000000"/>
          <w:kern w:val="0"/>
          <w:sz w:val="21"/>
          <w:szCs w:val="21"/>
          <w:lang w:val="en-US" w:eastAsia="zh-CN"/>
        </w:rPr>
        <w:t>用途是声音传输和再现设备，</w:t>
      </w:r>
      <w:r>
        <w:rPr>
          <w:rFonts w:hint="eastAsia" w:ascii="仿宋_GB2312" w:hAnsi="仿宋" w:eastAsia="仿宋_GB2312" w:cs="PMingLiU"/>
          <w:color w:val="000000"/>
          <w:kern w:val="0"/>
          <w:sz w:val="21"/>
          <w:szCs w:val="21"/>
          <w:lang w:val="en-GB" w:eastAsia="zh-CN"/>
        </w:rPr>
        <w:t>属于同一种商品，具备比较外观设计是否相同或相近似的前提。</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2、</w:t>
      </w:r>
      <w:r>
        <w:rPr>
          <w:rFonts w:hint="eastAsia" w:ascii="仿宋_GB2312" w:hAnsi="仿宋" w:eastAsia="仿宋_GB2312" w:cs="PMingLiU"/>
          <w:color w:val="000000"/>
          <w:kern w:val="0"/>
          <w:sz w:val="21"/>
          <w:szCs w:val="21"/>
          <w:lang w:val="en-GB" w:eastAsia="zh-CN"/>
        </w:rPr>
        <w:t>外观设计专利权保护范围以表示在图片或者照片中的该产品外观设计为准。由于涉案专利（专利号为ZL202030075816.7) 未请求保护色彩，因此，本专利保护范围为形状的外观设计。</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3、</w:t>
      </w:r>
      <w:r>
        <w:rPr>
          <w:rFonts w:hint="eastAsia" w:ascii="仿宋_GB2312" w:hAnsi="仿宋" w:eastAsia="仿宋_GB2312" w:cs="PMingLiU"/>
          <w:color w:val="000000"/>
          <w:kern w:val="0"/>
          <w:sz w:val="21"/>
          <w:szCs w:val="21"/>
          <w:lang w:val="en-GB" w:eastAsia="zh-CN"/>
        </w:rPr>
        <w:t>根据国家知识产权局出具的涉案外观设计专利权评价报告、其他案卷资料可知涉案外观设计区别于现有设计的特征设计。同时，通过对比文件可知，</w:t>
      </w:r>
      <w:r>
        <w:rPr>
          <w:rFonts w:hint="eastAsia" w:ascii="仿宋_GB2312" w:hAnsi="仿宋" w:eastAsia="仿宋_GB2312" w:cs="PMingLiU"/>
          <w:color w:val="000000"/>
          <w:kern w:val="0"/>
          <w:sz w:val="21"/>
          <w:szCs w:val="21"/>
          <w:lang w:val="en-US" w:eastAsia="zh-CN"/>
        </w:rPr>
        <w:t>耳机</w:t>
      </w:r>
      <w:r>
        <w:rPr>
          <w:rFonts w:hint="eastAsia" w:ascii="仿宋_GB2312" w:hAnsi="仿宋" w:eastAsia="仿宋_GB2312" w:cs="PMingLiU"/>
          <w:color w:val="000000"/>
          <w:kern w:val="0"/>
          <w:sz w:val="21"/>
          <w:szCs w:val="21"/>
          <w:lang w:val="en-GB" w:eastAsia="zh-CN"/>
        </w:rPr>
        <w:t>在形状上皆有多种选择，因此此类设计属于设计空间较大的情况，可以认定一般消费者不容易注意到两个不同设计之间的较小区别。根据国家知识产权局出具的涉案外观设计专利权评价报告、其他案卷资料可知涉案外观设计区别于现有设计的特征设计。依照设计特征的区分，综合考虑涉案外观设计专利与涉案产品各项相同或不同的设计特征各自对整体视觉效果的影响程度，以一般消费者的知识水平和认知能力，来判断二者是否构成相同或相</w:t>
      </w:r>
      <w:r>
        <w:rPr>
          <w:rFonts w:hint="eastAsia" w:ascii="仿宋_GB2312" w:hAnsi="仿宋" w:eastAsia="仿宋_GB2312" w:cs="PMingLiU"/>
          <w:color w:val="000000"/>
          <w:kern w:val="0"/>
          <w:sz w:val="21"/>
          <w:szCs w:val="21"/>
          <w:lang w:val="en-US" w:eastAsia="zh-CN"/>
        </w:rPr>
        <w:t>近似</w:t>
      </w:r>
      <w:r>
        <w:rPr>
          <w:rFonts w:hint="eastAsia" w:ascii="仿宋_GB2312" w:hAnsi="仿宋" w:eastAsia="仿宋_GB2312" w:cs="PMingLiU"/>
          <w:color w:val="000000"/>
          <w:kern w:val="0"/>
          <w:sz w:val="21"/>
          <w:szCs w:val="21"/>
          <w:lang w:val="en-GB" w:eastAsia="zh-CN"/>
        </w:rPr>
        <w:t xml:space="preserve">。一般消费者的知识水平和认知能力取决于现有设计的状况，通过涉案专利特征中的六视图可知： </w:t>
      </w:r>
    </w:p>
    <w:tbl>
      <w:tblPr>
        <w:tblStyle w:val="4"/>
        <w:tblW w:w="79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34"/>
        <w:gridCol w:w="2796"/>
        <w:gridCol w:w="23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本案专利</w:t>
            </w:r>
          </w:p>
        </w:tc>
        <w:tc>
          <w:tcPr>
            <w:tcW w:w="2796"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被控产品</w:t>
            </w:r>
          </w:p>
        </w:tc>
        <w:tc>
          <w:tcPr>
            <w:tcW w:w="2357"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比对意见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60525" cy="1865630"/>
                  <wp:effectExtent l="0" t="0" r="15875" b="127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1660525" cy="186563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204085"/>
                  <wp:effectExtent l="0" t="0" r="635" b="5715"/>
                  <wp:docPr id="1" name="图片 1" descr="5996452af4edbadcc16f32404255c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996452af4edbadcc16f32404255cbd"/>
                          <pic:cNvPicPr>
                            <a:picLocks noChangeAspect="1"/>
                          </pic:cNvPicPr>
                        </pic:nvPicPr>
                        <pic:blipFill>
                          <a:blip r:embed="rId5"/>
                          <a:srcRect l="29575" t="41963" r="34521" b="20569"/>
                          <a:stretch>
                            <a:fillRect/>
                          </a:stretch>
                        </pic:blipFill>
                        <pic:spPr>
                          <a:xfrm>
                            <a:off x="0" y="0"/>
                            <a:ext cx="1599565" cy="220408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61795" cy="1716405"/>
                  <wp:effectExtent l="0" t="0" r="14605" b="1714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6"/>
                          <a:stretch>
                            <a:fillRect/>
                          </a:stretch>
                        </pic:blipFill>
                        <pic:spPr>
                          <a:xfrm>
                            <a:off x="0" y="0"/>
                            <a:ext cx="1661795" cy="171640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132965"/>
                  <wp:effectExtent l="0" t="0" r="635" b="635"/>
                  <wp:docPr id="2" name="图片 2" descr="a49c1bc21e97b480b2032cf8bcf16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49c1bc21e97b480b2032cf8bcf162f"/>
                          <pic:cNvPicPr>
                            <a:picLocks noChangeAspect="1"/>
                          </pic:cNvPicPr>
                        </pic:nvPicPr>
                        <pic:blipFill>
                          <a:blip r:embed="rId7"/>
                          <a:srcRect l="33940" t="17276" r="28480" b="39320"/>
                          <a:stretch>
                            <a:fillRect/>
                          </a:stretch>
                        </pic:blipFill>
                        <pic:spPr>
                          <a:xfrm>
                            <a:off x="0" y="0"/>
                            <a:ext cx="1599565" cy="2132965"/>
                          </a:xfrm>
                          <a:prstGeom prst="rect">
                            <a:avLst/>
                          </a:prstGeom>
                        </pic:spPr>
                      </pic:pic>
                    </a:graphicData>
                  </a:graphic>
                </wp:inline>
              </w:drawing>
            </w:r>
          </w:p>
        </w:tc>
        <w:tc>
          <w:tcPr>
            <w:tcW w:w="2357" w:type="dxa"/>
            <w:vAlign w:val="top"/>
          </w:tcPr>
          <w:p>
            <w:pPr>
              <w:widowControl/>
              <w:tabs>
                <w:tab w:val="left" w:leader="underscore" w:pos="1947"/>
              </w:tabs>
              <w:spacing w:line="336" w:lineRule="auto"/>
              <w:jc w:val="both"/>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25"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61160" cy="1913255"/>
                  <wp:effectExtent l="0" t="0" r="15240" b="1079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8"/>
                          <a:stretch>
                            <a:fillRect/>
                          </a:stretch>
                        </pic:blipFill>
                        <pic:spPr>
                          <a:xfrm>
                            <a:off x="0" y="0"/>
                            <a:ext cx="1661160" cy="191325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132965"/>
                  <wp:effectExtent l="0" t="0" r="635" b="635"/>
                  <wp:docPr id="3" name="图片 3" descr="29a426b4fc619ef86b6d847c6aae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9a426b4fc619ef86b6d847c6aae168"/>
                          <pic:cNvPicPr>
                            <a:picLocks noChangeAspect="1"/>
                          </pic:cNvPicPr>
                        </pic:nvPicPr>
                        <pic:blipFill>
                          <a:blip r:embed="rId9"/>
                          <a:srcRect l="34085" t="31208" r="29749" b="27683"/>
                          <a:stretch>
                            <a:fillRect/>
                          </a:stretch>
                        </pic:blipFill>
                        <pic:spPr>
                          <a:xfrm>
                            <a:off x="0" y="0"/>
                            <a:ext cx="1599565" cy="213296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被控侵权产品与涉案专利外观设计相近似。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62430" cy="1597025"/>
                  <wp:effectExtent l="0" t="0" r="13970" b="317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1662430" cy="159702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132965"/>
                  <wp:effectExtent l="0" t="0" r="635" b="635"/>
                  <wp:docPr id="11" name="图片 11" descr="2c9cfd475abc78f7f0c7386f5dc5d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c9cfd475abc78f7f0c7386f5dc5da5"/>
                          <pic:cNvPicPr>
                            <a:picLocks noChangeAspect="1"/>
                          </pic:cNvPicPr>
                        </pic:nvPicPr>
                        <pic:blipFill>
                          <a:blip r:embed="rId11"/>
                          <a:srcRect l="28077" t="27788" r="28745" b="29784"/>
                          <a:stretch>
                            <a:fillRect/>
                          </a:stretch>
                        </pic:blipFill>
                        <pic:spPr>
                          <a:xfrm>
                            <a:off x="0" y="0"/>
                            <a:ext cx="1599565" cy="213296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62430" cy="1778635"/>
                  <wp:effectExtent l="0" t="0" r="13970" b="1206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2"/>
                          <a:stretch>
                            <a:fillRect/>
                          </a:stretch>
                        </pic:blipFill>
                        <pic:spPr>
                          <a:xfrm>
                            <a:off x="0" y="0"/>
                            <a:ext cx="1662430" cy="177863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132965"/>
                  <wp:effectExtent l="0" t="0" r="635" b="635"/>
                  <wp:docPr id="12" name="图片 12" descr="646a8ff362478ff79e229eacce3a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646a8ff362478ff79e229eacce3a345"/>
                          <pic:cNvPicPr>
                            <a:picLocks noChangeAspect="1"/>
                          </pic:cNvPicPr>
                        </pic:nvPicPr>
                        <pic:blipFill>
                          <a:blip r:embed="rId13"/>
                          <a:srcRect l="38407" t="33228" r="24905" b="27430"/>
                          <a:stretch>
                            <a:fillRect/>
                          </a:stretch>
                        </pic:blipFill>
                        <pic:spPr>
                          <a:xfrm>
                            <a:off x="0" y="0"/>
                            <a:ext cx="1599565" cy="2132965"/>
                          </a:xfrm>
                          <a:prstGeom prst="rect">
                            <a:avLst/>
                          </a:prstGeom>
                        </pic:spPr>
                      </pic:pic>
                    </a:graphicData>
                  </a:graphic>
                </wp:inline>
              </w:drawing>
            </w:r>
          </w:p>
        </w:tc>
        <w:tc>
          <w:tcPr>
            <w:tcW w:w="2357"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62430" cy="1861820"/>
                  <wp:effectExtent l="0" t="0" r="13970" b="508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4"/>
                          <a:stretch>
                            <a:fillRect/>
                          </a:stretch>
                        </pic:blipFill>
                        <pic:spPr>
                          <a:xfrm>
                            <a:off x="0" y="0"/>
                            <a:ext cx="1662430" cy="186182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2066290" cy="1668145"/>
                  <wp:effectExtent l="0" t="0" r="8255" b="10160"/>
                  <wp:docPr id="13" name="图片 13" descr="49d1ab09b0c1d7d7af619cc820b86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49d1ab09b0c1d7d7af619cc820b86c2"/>
                          <pic:cNvPicPr>
                            <a:picLocks noChangeAspect="1"/>
                          </pic:cNvPicPr>
                        </pic:nvPicPr>
                        <pic:blipFill>
                          <a:blip r:embed="rId15"/>
                          <a:srcRect l="41738" t="27137" r="21369" b="35243"/>
                          <a:stretch>
                            <a:fillRect/>
                          </a:stretch>
                        </pic:blipFill>
                        <pic:spPr>
                          <a:xfrm rot="5400000">
                            <a:off x="0" y="0"/>
                            <a:ext cx="2066290" cy="166814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5" w:hRule="atLeast"/>
          <w:jc w:val="center"/>
        </w:trPr>
        <w:tc>
          <w:tcPr>
            <w:tcW w:w="2834" w:type="dxa"/>
            <w:vAlign w:val="top"/>
          </w:tcPr>
          <w:p>
            <w:pPr>
              <w:widowControl/>
              <w:tabs>
                <w:tab w:val="left" w:leader="underscore" w:pos="1947"/>
              </w:tabs>
              <w:spacing w:line="336" w:lineRule="auto"/>
              <w:jc w:val="center"/>
            </w:pPr>
            <w:r>
              <w:drawing>
                <wp:inline distT="0" distB="0" distL="114300" distR="114300">
                  <wp:extent cx="1661795" cy="1581785"/>
                  <wp:effectExtent l="0" t="0" r="14605" b="1841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6"/>
                          <a:stretch>
                            <a:fillRect/>
                          </a:stretch>
                        </pic:blipFill>
                        <pic:spPr>
                          <a:xfrm>
                            <a:off x="0" y="0"/>
                            <a:ext cx="1661795" cy="158178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599565" cy="2132965"/>
                  <wp:effectExtent l="0" t="0" r="635" b="635"/>
                  <wp:docPr id="14" name="图片 14" descr="838edffb44e76cb97551236160e4d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838edffb44e76cb97551236160e4dea"/>
                          <pic:cNvPicPr>
                            <a:picLocks noChangeAspect="1"/>
                          </pic:cNvPicPr>
                        </pic:nvPicPr>
                        <pic:blipFill>
                          <a:blip r:embed="rId17"/>
                          <a:srcRect l="34178" t="33838" r="32217" b="32733"/>
                          <a:stretch>
                            <a:fillRect/>
                          </a:stretch>
                        </pic:blipFill>
                        <pic:spPr>
                          <a:xfrm>
                            <a:off x="0" y="0"/>
                            <a:ext cx="1599565" cy="213296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被控侵权产品与涉案专利外观设计相近似。 </w:t>
            </w:r>
          </w:p>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p>
        </w:tc>
      </w:tr>
    </w:tbl>
    <w:p>
      <w:pPr>
        <w:widowControl w:val="0"/>
        <w:shd w:val="clear" w:color="auto" w:fill="auto"/>
        <w:spacing w:before="0" w:line="336" w:lineRule="auto"/>
        <w:ind w:firstLine="420" w:firstLineChars="200"/>
        <w:jc w:val="left"/>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以上事实有现场勘验检查笔录、询问笔录及证据提取单等材料证明。</w:t>
      </w:r>
    </w:p>
    <w:p>
      <w:pPr>
        <w:pStyle w:val="7"/>
        <w:shd w:val="clear" w:color="auto" w:fill="auto"/>
        <w:spacing w:before="0" w:line="336" w:lineRule="auto"/>
        <w:ind w:firstLine="420" w:firstLineChars="200"/>
        <w:jc w:val="left"/>
        <w:rPr>
          <w:rFonts w:hint="default" w:ascii="仿宋_GB2312" w:hAnsi="宋体" w:eastAsia="仿宋_GB2312" w:cs="Microsoft JhengHei"/>
          <w:color w:val="000000"/>
          <w:kern w:val="0"/>
          <w:sz w:val="21"/>
          <w:szCs w:val="21"/>
          <w:lang w:val="en-US" w:eastAsia="zh-CN"/>
        </w:rPr>
      </w:pPr>
      <w:r>
        <w:rPr>
          <w:rFonts w:hint="eastAsia" w:ascii="仿宋_GB2312" w:hAnsi="宋体" w:eastAsia="仿宋_GB2312" w:cs="Microsoft JhengHei"/>
          <w:color w:val="000000"/>
          <w:kern w:val="0"/>
          <w:sz w:val="21"/>
          <w:szCs w:val="21"/>
          <w:lang w:val="en-GB" w:eastAsia="zh-CN"/>
        </w:rPr>
        <w:t>本局认为：</w:t>
      </w:r>
      <w:r>
        <w:rPr>
          <w:rFonts w:hint="eastAsia" w:ascii="仿宋_GB2312" w:hAnsi="宋体" w:eastAsia="仿宋_GB2312" w:cs="Microsoft JhengHei"/>
          <w:color w:val="000000"/>
          <w:kern w:val="0"/>
          <w:sz w:val="21"/>
          <w:szCs w:val="21"/>
          <w:lang w:val="en-US" w:eastAsia="zh-CN"/>
        </w:rPr>
        <w:t xml:space="preserve">涉案产品耳机（型号：AP3）与涉案专利的相同特征带来的较大影响强于不同设计带来的较小影响，相对比于一般消费者，根据“整体观察、综合判断”的原则，二者在整体视觉效果上无实质性差异，涉案产品耳机（型号：AP3）与涉案专利构成外观设计相近似，落入涉案专利权保护范围。 </w:t>
      </w:r>
    </w:p>
    <w:p>
      <w:pPr>
        <w:widowControl/>
        <w:tabs>
          <w:tab w:val="left" w:leader="underscore" w:pos="1947"/>
        </w:tabs>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综上所述，根据《中华人民共和国专利法》</w:t>
      </w:r>
      <w:bookmarkStart w:id="0" w:name="65"/>
      <w:r>
        <w:rPr>
          <w:rFonts w:hint="eastAsia" w:ascii="仿宋_GB2312" w:hAnsi="仿宋" w:eastAsia="仿宋_GB2312" w:cs="PMingLiU"/>
          <w:color w:val="000000"/>
          <w:kern w:val="0"/>
          <w:sz w:val="21"/>
          <w:szCs w:val="21"/>
          <w:lang w:val="en-GB" w:eastAsia="zh-CN"/>
        </w:rPr>
        <w:t>第六十五条</w:t>
      </w:r>
      <w:bookmarkEnd w:id="0"/>
      <w:r>
        <w:rPr>
          <w:rFonts w:hint="eastAsia" w:ascii="仿宋_GB2312" w:hAnsi="仿宋" w:eastAsia="仿宋_GB2312" w:cs="PMingLiU"/>
          <w:color w:val="000000"/>
          <w:kern w:val="0"/>
          <w:sz w:val="21"/>
          <w:szCs w:val="21"/>
          <w:lang w:val="en-GB" w:eastAsia="zh-CN"/>
        </w:rPr>
        <w:t>、《专利行政执法办法》</w:t>
      </w:r>
      <w:bookmarkStart w:id="1" w:name="19"/>
      <w:r>
        <w:rPr>
          <w:rFonts w:hint="eastAsia" w:ascii="仿宋_GB2312" w:hAnsi="仿宋" w:eastAsia="仿宋_GB2312" w:cs="PMingLiU"/>
          <w:color w:val="000000"/>
          <w:kern w:val="0"/>
          <w:sz w:val="21"/>
          <w:szCs w:val="21"/>
          <w:lang w:val="en-GB" w:eastAsia="zh-CN"/>
        </w:rPr>
        <w:t>第十九条</w:t>
      </w:r>
      <w:bookmarkEnd w:id="1"/>
      <w:r>
        <w:rPr>
          <w:rFonts w:hint="eastAsia" w:ascii="仿宋_GB2312" w:hAnsi="仿宋" w:eastAsia="仿宋_GB2312" w:cs="PMingLiU"/>
          <w:color w:val="000000"/>
          <w:kern w:val="0"/>
          <w:sz w:val="21"/>
          <w:szCs w:val="21"/>
          <w:lang w:val="en-GB" w:eastAsia="zh-CN"/>
        </w:rPr>
        <w:t>之规定，本局作出行政裁决如下：</w:t>
      </w:r>
    </w:p>
    <w:p>
      <w:pPr>
        <w:widowControl/>
        <w:spacing w:line="336" w:lineRule="auto"/>
        <w:ind w:left="440"/>
        <w:jc w:val="both"/>
        <w:rPr>
          <w:rFonts w:hint="default" w:ascii="仿宋_GB2312" w:hAnsi="仿宋" w:eastAsia="仿宋_GB2312" w:cs="PMingLiU"/>
          <w:color w:val="000000"/>
          <w:kern w:val="0"/>
          <w:sz w:val="21"/>
          <w:szCs w:val="21"/>
          <w:lang w:val="en-US" w:eastAsia="zh-CN" w:bidi="en-US"/>
        </w:rPr>
      </w:pPr>
      <w:r>
        <w:rPr>
          <w:rFonts w:hint="eastAsia" w:ascii="Times New Roman" w:hAnsi="Times New Roman" w:eastAsia="仿宋_GB2312" w:cs="PMingLiU"/>
          <w:color w:val="000000"/>
          <w:kern w:val="0"/>
          <w:sz w:val="21"/>
          <w:szCs w:val="21"/>
          <w:lang w:val="en-US" w:eastAsia="zh-CN" w:bidi="en-US"/>
        </w:rPr>
        <w:t>1</w:t>
      </w:r>
      <w:r>
        <w:rPr>
          <w:rFonts w:hint="eastAsia" w:ascii="仿宋_GB2312" w:hAnsi="仿宋" w:eastAsia="仿宋_GB2312" w:cs="PMingLiU"/>
          <w:color w:val="000000"/>
          <w:kern w:val="0"/>
          <w:sz w:val="21"/>
          <w:szCs w:val="21"/>
          <w:lang w:val="en-US" w:eastAsia="zh-CN" w:bidi="en-US"/>
        </w:rPr>
        <w:t>.</w:t>
      </w:r>
      <w:r>
        <w:rPr>
          <w:rFonts w:hint="eastAsia" w:ascii="宋体" w:hAnsi="宋体" w:eastAsia="宋体" w:cs="PMingLiU"/>
          <w:color w:val="000000"/>
          <w:kern w:val="0"/>
          <w:sz w:val="21"/>
          <w:szCs w:val="21"/>
          <w:lang w:val="en-US" w:eastAsia="zh-CN"/>
        </w:rPr>
        <w:t>责令被请求人立即停止侵权行为，即立即停止制造、销售、许诺销售侵犯ZL202030075816.7号外观设计专利的耳机（型号：AP3）</w:t>
      </w:r>
    </w:p>
    <w:p>
      <w:pPr>
        <w:widowControl/>
        <w:spacing w:line="336" w:lineRule="auto"/>
        <w:ind w:left="440"/>
        <w:jc w:val="both"/>
        <w:rPr>
          <w:rFonts w:hint="default" w:ascii="仿宋_GB2312" w:hAnsi="仿宋" w:eastAsia="仿宋_GB2312" w:cs="PMingLiU"/>
          <w:color w:val="000000"/>
          <w:kern w:val="0"/>
          <w:sz w:val="21"/>
          <w:szCs w:val="21"/>
          <w:lang w:val="en-US" w:eastAsia="zh-CN" w:bidi="en-US"/>
        </w:rPr>
      </w:pPr>
      <w:r>
        <w:rPr>
          <w:rFonts w:hint="eastAsia" w:ascii="Times New Roman" w:hAnsi="Times New Roman" w:eastAsia="仿宋_GB2312" w:cs="PMingLiU"/>
          <w:color w:val="000000"/>
          <w:kern w:val="0"/>
          <w:sz w:val="21"/>
          <w:szCs w:val="21"/>
          <w:lang w:val="en-US" w:eastAsia="zh-CN" w:bidi="en-US"/>
        </w:rPr>
        <w:t>2</w:t>
      </w:r>
      <w:r>
        <w:rPr>
          <w:rFonts w:hint="eastAsia" w:ascii="仿宋_GB2312" w:hAnsi="仿宋" w:eastAsia="仿宋_GB2312" w:cs="PMingLiU"/>
          <w:color w:val="000000"/>
          <w:kern w:val="0"/>
          <w:sz w:val="21"/>
          <w:szCs w:val="21"/>
          <w:lang w:val="en-US" w:eastAsia="zh-CN" w:bidi="en-US"/>
        </w:rPr>
        <w:t>.</w:t>
      </w:r>
      <w:r>
        <w:rPr>
          <w:rFonts w:hint="eastAsia" w:ascii="宋体" w:hAnsi="宋体" w:eastAsia="宋体" w:cs="PMingLiU"/>
          <w:color w:val="000000"/>
          <w:kern w:val="0"/>
          <w:sz w:val="21"/>
          <w:szCs w:val="21"/>
          <w:lang w:val="en-US" w:eastAsia="zh-CN"/>
        </w:rPr>
        <w:t>驳回请求人的其他请求。</w:t>
      </w:r>
    </w:p>
    <w:p>
      <w:pPr>
        <w:widowControl/>
        <w:spacing w:line="336" w:lineRule="auto"/>
        <w:ind w:firstLine="420" w:firstLineChars="200"/>
        <w:jc w:val="both"/>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当事人如不服本裁决，可自收到裁决书之日起</w:t>
      </w:r>
      <w:r>
        <w:rPr>
          <w:rFonts w:hint="eastAsia" w:ascii="Times New Roman" w:hAnsi="Times New Roman" w:eastAsia="仿宋_GB2312" w:cs="PMingLiU"/>
          <w:color w:val="000000"/>
          <w:kern w:val="0"/>
          <w:sz w:val="21"/>
          <w:szCs w:val="21"/>
          <w:lang w:val="en-GB" w:eastAsia="zh-CN"/>
        </w:rPr>
        <w:t>15</w:t>
      </w:r>
      <w:r>
        <w:rPr>
          <w:rFonts w:hint="eastAsia" w:ascii="仿宋_GB2312" w:hAnsi="仿宋" w:eastAsia="仿宋_GB2312" w:cs="PMingLiU"/>
          <w:color w:val="000000"/>
          <w:kern w:val="0"/>
          <w:sz w:val="21"/>
          <w:szCs w:val="21"/>
          <w:lang w:val="en-GB" w:eastAsia="zh-CN"/>
        </w:rPr>
        <w:t>日内，依照《中华人民共和国专利法》第六十条向</w:t>
      </w:r>
      <w:r>
        <w:rPr>
          <w:rFonts w:hint="eastAsia" w:ascii="仿宋_GB2312" w:hAnsi="仿宋" w:eastAsia="仿宋_GB2312" w:cs="PMingLiU"/>
          <w:color w:val="000000"/>
          <w:kern w:val="0"/>
          <w:sz w:val="21"/>
          <w:szCs w:val="21"/>
          <w:u w:val="none"/>
          <w:lang w:val="en-US" w:eastAsia="zh-CN"/>
        </w:rPr>
        <w:t>深圳市中级</w:t>
      </w:r>
      <w:r>
        <w:rPr>
          <w:rFonts w:hint="eastAsia" w:ascii="仿宋_GB2312" w:hAnsi="仿宋" w:eastAsia="仿宋_GB2312" w:cs="PMingLiU"/>
          <w:color w:val="000000"/>
          <w:kern w:val="0"/>
          <w:sz w:val="21"/>
          <w:szCs w:val="21"/>
          <w:lang w:val="en-GB" w:eastAsia="zh-CN"/>
        </w:rPr>
        <w:t>人民法院起诉。期满不起诉又不履行行政裁决的，本局将申请人民法院强制执行。</w:t>
      </w: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val="0"/>
        <w:spacing w:line="336" w:lineRule="auto"/>
        <w:ind w:firstLine="600"/>
        <w:jc w:val="left"/>
        <w:rPr>
          <w:rFonts w:hint="eastAsia" w:ascii="仿宋_GB2312" w:hAnsi="宋体" w:eastAsia="仿宋_GB2312" w:cs="Times New Roman"/>
          <w:color w:val="000000"/>
          <w:spacing w:val="6"/>
          <w:kern w:val="0"/>
          <w:sz w:val="21"/>
          <w:szCs w:val="21"/>
          <w:lang w:val="en-GB" w:eastAsia="zh-CN"/>
        </w:rPr>
      </w:pPr>
    </w:p>
    <w:p>
      <w:pPr>
        <w:widowControl w:val="0"/>
        <w:wordWrap w:val="0"/>
        <w:spacing w:line="336" w:lineRule="auto"/>
        <w:ind w:firstLine="600"/>
        <w:jc w:val="right"/>
        <w:rPr>
          <w:rFonts w:hint="eastAsia" w:ascii="仿宋_GB2312" w:hAnsi="宋体" w:eastAsia="仿宋_GB2312" w:cs="Times New Roman"/>
          <w:color w:val="000000"/>
          <w:spacing w:val="6"/>
          <w:kern w:val="0"/>
          <w:sz w:val="21"/>
          <w:szCs w:val="21"/>
          <w:u w:val="none"/>
          <w:lang w:val="en-US" w:eastAsia="zh-CN"/>
        </w:rPr>
      </w:pPr>
      <w:r>
        <w:rPr>
          <w:rFonts w:hint="eastAsia" w:ascii="仿宋_GB2312" w:hAnsi="宋体" w:eastAsia="仿宋_GB2312" w:cs="Times New Roman"/>
          <w:color w:val="000000"/>
          <w:spacing w:val="6"/>
          <w:kern w:val="0"/>
          <w:sz w:val="21"/>
          <w:szCs w:val="21"/>
          <w:u w:val="none"/>
          <w:lang w:val="en-GB" w:eastAsia="zh-CN"/>
        </w:rPr>
        <w:t xml:space="preserve"> </w:t>
      </w:r>
      <w:r>
        <w:rPr>
          <w:rFonts w:hint="eastAsia" w:ascii="仿宋_GB2312" w:hAnsi="宋体" w:eastAsia="仿宋_GB2312" w:cs="Times New Roman"/>
          <w:color w:val="000000"/>
          <w:spacing w:val="6"/>
          <w:kern w:val="0"/>
          <w:sz w:val="21"/>
          <w:szCs w:val="21"/>
          <w:u w:val="none"/>
          <w:lang w:val="en-US" w:eastAsia="zh-CN"/>
        </w:rPr>
        <w:t>深圳市市场监督管理局光明监管局</w:t>
      </w:r>
    </w:p>
    <w:p>
      <w:pPr>
        <w:widowControl w:val="0"/>
        <w:wordWrap w:val="0"/>
        <w:spacing w:line="336" w:lineRule="auto"/>
        <w:ind w:firstLine="600"/>
        <w:jc w:val="right"/>
        <w:rPr>
          <w:rFonts w:hint="eastAsia" w:ascii="仿宋_GB2312" w:hAnsi="宋体" w:eastAsia="仿宋_GB2312" w:cs="Times New Roman"/>
          <w:color w:val="000000"/>
          <w:spacing w:val="6"/>
          <w:kern w:val="0"/>
          <w:sz w:val="21"/>
          <w:szCs w:val="21"/>
          <w:lang w:val="en-GB" w:eastAsia="zh-CN"/>
        </w:rPr>
      </w:pPr>
      <w:r>
        <w:rPr>
          <w:rFonts w:hint="eastAsia" w:ascii="仿宋_GB2312" w:hAnsi="宋体" w:eastAsia="仿宋_GB2312" w:cs="Times New Roman"/>
          <w:color w:val="000000"/>
          <w:spacing w:val="6"/>
          <w:kern w:val="0"/>
          <w:sz w:val="21"/>
          <w:szCs w:val="21"/>
          <w:lang w:val="en-GB" w:eastAsia="zh-CN"/>
        </w:rPr>
        <w:t xml:space="preserve"> </w:t>
      </w:r>
      <w:r>
        <w:rPr>
          <w:rFonts w:hint="eastAsia" w:ascii="仿宋_GB2312" w:hAnsi="宋体" w:eastAsia="仿宋_GB2312" w:cs="Times New Roman"/>
          <w:color w:val="000000"/>
          <w:spacing w:val="6"/>
          <w:kern w:val="0"/>
          <w:sz w:val="21"/>
          <w:szCs w:val="21"/>
          <w:u w:val="single"/>
          <w:lang w:val="en-US" w:eastAsia="zh-CN"/>
        </w:rPr>
        <w:t>2023</w:t>
      </w:r>
      <w:r>
        <w:rPr>
          <w:rFonts w:hint="eastAsia" w:ascii="仿宋_GB2312" w:hAnsi="宋体" w:eastAsia="仿宋_GB2312" w:cs="Times New Roman"/>
          <w:color w:val="000000"/>
          <w:spacing w:val="6"/>
          <w:kern w:val="0"/>
          <w:sz w:val="21"/>
          <w:szCs w:val="21"/>
          <w:lang w:val="en-GB" w:eastAsia="zh-CN"/>
        </w:rPr>
        <w:t>年</w:t>
      </w:r>
      <w:r>
        <w:rPr>
          <w:rFonts w:hint="eastAsia" w:ascii="仿宋_GB2312" w:hAnsi="宋体" w:eastAsia="仿宋_GB2312" w:cs="Times New Roman"/>
          <w:color w:val="000000"/>
          <w:spacing w:val="6"/>
          <w:kern w:val="0"/>
          <w:sz w:val="21"/>
          <w:szCs w:val="21"/>
          <w:u w:val="single"/>
          <w:lang w:val="en-US" w:eastAsia="zh-CN"/>
        </w:rPr>
        <w:t>06</w:t>
      </w:r>
      <w:r>
        <w:rPr>
          <w:rFonts w:hint="eastAsia" w:ascii="仿宋_GB2312" w:hAnsi="宋体" w:eastAsia="仿宋_GB2312" w:cs="Times New Roman"/>
          <w:color w:val="000000"/>
          <w:spacing w:val="6"/>
          <w:kern w:val="0"/>
          <w:sz w:val="21"/>
          <w:szCs w:val="21"/>
          <w:lang w:val="en-GB" w:eastAsia="zh-CN"/>
        </w:rPr>
        <w:t>月</w:t>
      </w:r>
      <w:r>
        <w:rPr>
          <w:rFonts w:hint="eastAsia" w:ascii="仿宋_GB2312" w:hAnsi="宋体" w:eastAsia="仿宋_GB2312" w:cs="Times New Roman"/>
          <w:color w:val="000000"/>
          <w:spacing w:val="6"/>
          <w:kern w:val="0"/>
          <w:sz w:val="21"/>
          <w:szCs w:val="21"/>
          <w:u w:val="single"/>
          <w:lang w:val="en-US" w:eastAsia="zh-CN"/>
        </w:rPr>
        <w:t>20</w:t>
      </w:r>
      <w:r>
        <w:rPr>
          <w:rFonts w:hint="eastAsia" w:ascii="仿宋_GB2312" w:hAnsi="宋体" w:eastAsia="仿宋_GB2312" w:cs="Times New Roman"/>
          <w:color w:val="000000"/>
          <w:spacing w:val="6"/>
          <w:kern w:val="0"/>
          <w:sz w:val="21"/>
          <w:szCs w:val="21"/>
          <w:lang w:val="en-GB" w:eastAsia="zh-CN"/>
        </w:rPr>
        <w:t>日　　</w:t>
      </w: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 w:val="right" w:pos="9412"/>
        </w:tabs>
        <w:spacing w:line="336" w:lineRule="auto"/>
        <w:ind w:left="1680" w:leftChars="800" w:firstLine="4630" w:firstLineChars="2205"/>
        <w:jc w:val="both"/>
        <w:rPr>
          <w:rFonts w:ascii="仿宋_GB2312" w:hAnsi="仿宋" w:eastAsia="仿宋_GB2312" w:cs="PMingLiU"/>
          <w:color w:val="000000"/>
          <w:kern w:val="0"/>
          <w:sz w:val="21"/>
          <w:szCs w:val="21"/>
          <w:lang w:val="en-GB"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r>
        <w:rPr>
          <w:rFonts w:hint="eastAsia" w:ascii="仿宋_GB2312" w:hAnsi="仿宋" w:eastAsia="仿宋_GB2312" w:cs="PMingLiU"/>
          <w:color w:val="000000"/>
          <w:kern w:val="0"/>
          <w:sz w:val="28"/>
          <w:szCs w:val="28"/>
          <w:u w:val="none"/>
          <w:lang w:val="en-US" w:eastAsia="zh-CN"/>
        </w:rPr>
        <w:t>附相关法条：</w:t>
      </w: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《专利行政执法办法》</w:t>
      </w:r>
    </w:p>
    <w:p>
      <w:pPr>
        <w:keepNext w:val="0"/>
        <w:keepLines w:val="0"/>
        <w:widowControl/>
        <w:suppressLineNumbers w:val="0"/>
        <w:shd w:val="clear" w:fill="FFFFFF"/>
        <w:spacing w:line="390" w:lineRule="atLeast"/>
        <w:ind w:left="0" w:firstLine="0"/>
        <w:jc w:val="left"/>
        <w:rPr>
          <w:rFonts w:hint="eastAsia"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b/>
          <w:bCs/>
          <w:i w:val="0"/>
          <w:caps w:val="0"/>
          <w:color w:val="333333"/>
          <w:spacing w:val="0"/>
          <w:kern w:val="0"/>
          <w:sz w:val="21"/>
          <w:szCs w:val="21"/>
          <w:shd w:val="clear" w:fill="FFFFFF"/>
          <w:lang w:val="en-US" w:eastAsia="zh-CN" w:bidi="ar"/>
        </w:rPr>
        <w:t>第十九条</w:t>
      </w:r>
      <w:r>
        <w:rPr>
          <w:rFonts w:hint="default" w:ascii="Arial" w:hAnsi="Arial" w:eastAsia="宋体" w:cs="Arial"/>
          <w:i w:val="0"/>
          <w:caps w:val="0"/>
          <w:color w:val="333333"/>
          <w:spacing w:val="0"/>
          <w:kern w:val="0"/>
          <w:sz w:val="21"/>
          <w:szCs w:val="21"/>
          <w:shd w:val="clear" w:fill="FFFFFF"/>
          <w:lang w:val="en-US" w:eastAsia="zh-CN" w:bidi="ar"/>
        </w:rPr>
        <w:t xml:space="preserve"> 除达成调解协议或者请求人撤回请求之外，管理专利工作的部门处理专利侵权纠纷应当制作处理决定书，写明以下内容：</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（一）当事人的姓名或者名称、地址；</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（二）当事人陈述的事实和理由；</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（三）认定侵权行为是否成立的理由和依据；</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（四）处理决定认定侵权行为成立并需要责令侵权人立即停止侵权行为的，应当明确写明责令被请求人立即停止的侵权行为的类型、对象和范围；认定侵权行为不成立的，应当驳回请求人的请求；</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（五）不服处理决定提起行政诉讼的途径和期限。</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处理决定书应当加盖管理专利工作的部门的公章。</w:t>
      </w: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《中华人民共和国专利法》</w:t>
      </w:r>
    </w:p>
    <w:p>
      <w:pPr>
        <w:keepNext w:val="0"/>
        <w:keepLines w:val="0"/>
        <w:widowControl/>
        <w:suppressLineNumbers w:val="0"/>
        <w:shd w:val="clear" w:fill="FFFFFF"/>
        <w:spacing w:line="390" w:lineRule="atLeast"/>
        <w:ind w:left="0" w:firstLine="0"/>
        <w:jc w:val="left"/>
        <w:rPr>
          <w:rFonts w:hint="default" w:ascii="Arial" w:hAnsi="Arial" w:cs="Arial"/>
          <w:i w:val="0"/>
          <w:caps w:val="0"/>
          <w:color w:val="333333"/>
          <w:spacing w:val="0"/>
          <w:sz w:val="21"/>
          <w:szCs w:val="21"/>
        </w:rPr>
      </w:pPr>
      <w:r>
        <w:rPr>
          <w:rFonts w:hint="default" w:ascii="Arial" w:hAnsi="Arial" w:eastAsia="宋体" w:cs="Arial"/>
          <w:b/>
          <w:i w:val="0"/>
          <w:caps w:val="0"/>
          <w:color w:val="333333"/>
          <w:spacing w:val="0"/>
          <w:kern w:val="0"/>
          <w:sz w:val="21"/>
          <w:szCs w:val="21"/>
          <w:shd w:val="clear" w:fill="FFFFFF"/>
          <w:lang w:val="en-US" w:eastAsia="zh-CN" w:bidi="ar"/>
        </w:rPr>
        <w:t>第六十条</w:t>
      </w:r>
      <w:r>
        <w:rPr>
          <w:rFonts w:hint="eastAsia" w:ascii="Arial" w:hAnsi="Arial" w:eastAsia="宋体" w:cs="Arial"/>
          <w:b/>
          <w:i w:val="0"/>
          <w:caps w:val="0"/>
          <w:color w:val="333333"/>
          <w:spacing w:val="0"/>
          <w:kern w:val="0"/>
          <w:sz w:val="21"/>
          <w:szCs w:val="21"/>
          <w:shd w:val="clear" w:fill="FFFFFF"/>
          <w:lang w:val="en-US" w:eastAsia="zh-CN" w:bidi="ar"/>
        </w:rPr>
        <w:t xml:space="preserve"> </w:t>
      </w:r>
      <w:r>
        <w:rPr>
          <w:rFonts w:hint="default" w:ascii="Arial" w:hAnsi="Arial" w:eastAsia="宋体" w:cs="Arial"/>
          <w:i w:val="0"/>
          <w:caps w:val="0"/>
          <w:color w:val="333333"/>
          <w:spacing w:val="0"/>
          <w:kern w:val="0"/>
          <w:sz w:val="21"/>
          <w:szCs w:val="21"/>
          <w:shd w:val="clear" w:fill="FFFFFF"/>
          <w:lang w:val="en-US" w:eastAsia="zh-CN" w:bidi="ar"/>
        </w:rPr>
        <w:t>未经专利权人许可，实施其专利，即侵犯其专利权，引起纠纷的，由当事人协商解决；不愿协商或者协商不成的，专利权人或者利害关系人可以向人民法院起诉，也可以请求管理专利工作的部门处理。管理专利工作的部门处理时，认定侵权行为成立的，可以责令侵权人立即停止侵权行为，当事人不服的，可以自收到处理通知之日起十五日内依照《中华人民共和国行政诉讼法》向人民法院起诉；侵权人期满不起诉又不停止侵权行为的，管理专利工作的部门可以申请人民法院强制执行。进行处理的管理专利工作的部门应当事人的请求，可以就侵犯专利权的赔偿数额进行调解；调解不成的，当事人可以依照《中华人民共和国民事诉讼法》向人民法院起诉。</w:t>
      </w:r>
    </w:p>
    <w:p>
      <w:pPr>
        <w:keepNext w:val="0"/>
        <w:keepLines w:val="0"/>
        <w:widowControl/>
        <w:suppressLineNumbers w:val="0"/>
        <w:shd w:val="clear" w:fill="FFFFFF"/>
        <w:spacing w:after="225" w:afterAutospacing="0" w:line="360" w:lineRule="atLeast"/>
        <w:ind w:left="0" w:firstLine="420"/>
        <w:jc w:val="left"/>
        <w:rPr>
          <w:rFonts w:hint="default" w:ascii="Arial" w:hAnsi="Arial" w:eastAsia="宋体" w:cs="Arial"/>
          <w:i w:val="0"/>
          <w:caps w:val="0"/>
          <w:color w:val="333333"/>
          <w:spacing w:val="0"/>
          <w:kern w:val="0"/>
          <w:sz w:val="21"/>
          <w:szCs w:val="21"/>
          <w:shd w:val="clear" w:fill="FFFFFF"/>
          <w:lang w:val="en-US" w:eastAsia="zh-CN" w:bidi="ar"/>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GB"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01D4EB07-8DB7-4357-95BC-0B039208A077}"/>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F01CE739-D218-4DBC-837E-CCFBCF61B84B}"/>
  </w:font>
  <w:font w:name="PMingLiU">
    <w:altName w:val="PMingLiU-ExtB"/>
    <w:panose1 w:val="02020500000000000000"/>
    <w:charset w:val="88"/>
    <w:family w:val="roman"/>
    <w:pitch w:val="default"/>
    <w:sig w:usb0="00000000" w:usb1="00000000" w:usb2="00000016" w:usb3="00000000" w:csb0="00100001" w:csb1="00000000"/>
    <w:embedRegular r:id="rId3" w:fontKey="{894EBC03-AA13-426B-9B9C-66A957D9BE0F}"/>
  </w:font>
  <w:font w:name="方正小标宋_GBK">
    <w:panose1 w:val="02000000000000000000"/>
    <w:charset w:val="86"/>
    <w:family w:val="script"/>
    <w:pitch w:val="default"/>
    <w:sig w:usb0="00000001" w:usb1="080E0000" w:usb2="00000000" w:usb3="00000000" w:csb0="00040000" w:csb1="00000000"/>
    <w:embedRegular r:id="rId4" w:fontKey="{BE67CC43-ADA2-4822-A925-1EE4A283450B}"/>
  </w:font>
  <w:font w:name="仿宋">
    <w:panose1 w:val="02010609060101010101"/>
    <w:charset w:val="86"/>
    <w:family w:val="modern"/>
    <w:pitch w:val="default"/>
    <w:sig w:usb0="800002BF" w:usb1="38CF7CFA" w:usb2="00000016" w:usb3="00000000" w:csb0="00040001" w:csb1="00000000"/>
    <w:embedRegular r:id="rId5" w:fontKey="{026C6D79-B1EA-4A11-A85D-3C58C582AA47}"/>
  </w:font>
  <w:font w:name="仿宋_GB2312">
    <w:panose1 w:val="02010609030101010101"/>
    <w:charset w:val="86"/>
    <w:family w:val="modern"/>
    <w:pitch w:val="default"/>
    <w:sig w:usb0="00000001" w:usb1="080E0000" w:usb2="00000000" w:usb3="00000000" w:csb0="00040000" w:csb1="00000000"/>
    <w:embedRegular r:id="rId6" w:fontKey="{1E649475-195E-47E6-B6D9-F8B716660F18}"/>
  </w:font>
  <w:font w:name="Microsoft JhengHei">
    <w:panose1 w:val="020B0604030504040204"/>
    <w:charset w:val="88"/>
    <w:family w:val="swiss"/>
    <w:pitch w:val="default"/>
    <w:sig w:usb0="000002A7" w:usb1="28CF4400" w:usb2="00000016" w:usb3="00000000" w:csb0="00100009" w:csb1="00000000"/>
    <w:embedRegular r:id="rId7" w:fontKey="{2C5EDBFD-F42B-4BAD-BB58-001E57AF40D3}"/>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k3ZmU5ZWRjNzE0MjBjZTdmNDk0MjNiOGRkZDQ4OTAifQ=="/>
  </w:docVars>
  <w:rsids>
    <w:rsidRoot w:val="103420FA"/>
    <w:rsid w:val="00441793"/>
    <w:rsid w:val="034F7D5E"/>
    <w:rsid w:val="03E3608D"/>
    <w:rsid w:val="043A63A5"/>
    <w:rsid w:val="0B7C0A52"/>
    <w:rsid w:val="0C922276"/>
    <w:rsid w:val="0EF00FCD"/>
    <w:rsid w:val="103420FA"/>
    <w:rsid w:val="115D78F6"/>
    <w:rsid w:val="1D062161"/>
    <w:rsid w:val="32A45CA2"/>
    <w:rsid w:val="3311530B"/>
    <w:rsid w:val="38432F43"/>
    <w:rsid w:val="3E371C5A"/>
    <w:rsid w:val="3EB219E2"/>
    <w:rsid w:val="3F5E7AA5"/>
    <w:rsid w:val="411918CB"/>
    <w:rsid w:val="418C2EAA"/>
    <w:rsid w:val="450F327B"/>
    <w:rsid w:val="4FE85264"/>
    <w:rsid w:val="506B69D9"/>
    <w:rsid w:val="55FD6A79"/>
    <w:rsid w:val="57E0466E"/>
    <w:rsid w:val="5826110D"/>
    <w:rsid w:val="58376355"/>
    <w:rsid w:val="5D340390"/>
    <w:rsid w:val="5EF40F29"/>
    <w:rsid w:val="628437B7"/>
    <w:rsid w:val="64A929AA"/>
    <w:rsid w:val="65823054"/>
    <w:rsid w:val="6FAA5EFF"/>
    <w:rsid w:val="747B274B"/>
    <w:rsid w:val="753C44CA"/>
    <w:rsid w:val="762A7AAD"/>
    <w:rsid w:val="7BEB7769"/>
    <w:rsid w:val="7D6B16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table" w:styleId="4">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
    <w:name w:val="Hyperlink"/>
    <w:basedOn w:val="5"/>
    <w:qFormat/>
    <w:uiPriority w:val="0"/>
    <w:rPr>
      <w:color w:val="0000FF"/>
      <w:u w:val="single"/>
    </w:rPr>
  </w:style>
  <w:style w:type="paragraph" w:customStyle="1" w:styleId="7">
    <w:name w:val="MSG_EN_FONT_STYLE_NAME_TEMPLATE_ROLE_NUMBER MSG_EN_FONT_STYLE_NAME_BY_ROLE_TEXT 3"/>
    <w:qFormat/>
    <w:uiPriority w:val="0"/>
    <w:pPr>
      <w:widowControl w:val="0"/>
      <w:shd w:val="clear" w:color="auto" w:fill="FFFFFF"/>
      <w:spacing w:before="1860" w:line="170" w:lineRule="exact"/>
      <w:jc w:val="distribute"/>
    </w:pPr>
    <w:rPr>
      <w:rFonts w:ascii="PMingLiU" w:hAnsi="PMingLiU" w:eastAsia="PMingLiU" w:cs="Times New Roman"/>
      <w:sz w:val="17"/>
      <w:szCs w:val="17"/>
      <w:lang w:val="en-GB"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4.jpeg"/><Relationship Id="rId16" Type="http://schemas.openxmlformats.org/officeDocument/2006/relationships/image" Target="media/image13.pn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2195</Words>
  <Characters>2331</Characters>
  <Lines>0</Lines>
  <Paragraphs>0</Paragraphs>
  <TotalTime>8</TotalTime>
  <ScaleCrop>false</ScaleCrop>
  <LinksUpToDate>false</LinksUpToDate>
  <CharactersWithSpaces>2349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2020-12-14T01:38:00Z</dcterms:created>
  <dc:creator>阿呆</dc:creator>
  <cp:lastModifiedBy>赵嘉晴</cp:lastModifiedBy>
  <cp:lastPrinted>2023-06-20T03:52:00Z</cp:lastPrinted>
  <dcterms:modified xsi:type="dcterms:W3CDTF">2023-07-27T08:31:00Z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78D2A59A78F641B4AC6B0AA430A4C3E1_12</vt:lpwstr>
  </property>
</Properties>
</file>