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bookmarkStart w:id="0" w:name="OLE_LINK1"/>
      <w:r>
        <w:rPr>
          <w:rFonts w:hint="default" w:ascii="华文中宋" w:hAnsi="华文中宋" w:eastAsia="华文中宋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深圳市市场监督管理局</w:t>
      </w:r>
      <w:r>
        <w:rPr>
          <w:rFonts w:ascii="华文中宋" w:hAnsi="华文中宋" w:eastAsia="华文中宋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知识产权保护</w:t>
      </w:r>
    </w:p>
    <w:p>
      <w:pPr>
        <w:spacing w:line="560" w:lineRule="exact"/>
        <w:jc w:val="center"/>
        <w:rPr>
          <w:rFonts w:hint="default" w:ascii="华文中宋" w:hAnsi="华文中宋" w:eastAsia="华文中宋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工作站</w:t>
      </w:r>
      <w:bookmarkEnd w:id="0"/>
      <w:r>
        <w:rPr>
          <w:rFonts w:hint="eastAsia" w:ascii="华文中宋" w:hAnsi="华文中宋" w:eastAsia="华文中宋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管理办法</w:t>
      </w:r>
    </w:p>
    <w:p>
      <w:pPr>
        <w:widowControl/>
        <w:spacing w:line="560" w:lineRule="exact"/>
        <w:jc w:val="center"/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征求意见稿</w:t>
      </w: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spacing w:line="560" w:lineRule="exact"/>
        <w:jc w:val="center"/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pacing w:before="157" w:beforeLines="50" w:after="157" w:afterLines="50" w:line="560" w:lineRule="exact"/>
        <w:jc w:val="center"/>
        <w:rPr>
          <w:rFonts w:hint="eastAsia" w:ascii="CESI黑体-GB13000" w:hAnsi="CESI黑体-GB13000" w:eastAsia="CESI黑体-GB13000" w:cs="CESI黑体-GB13000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13000" w:hAnsi="CESI黑体-GB13000" w:eastAsia="CESI黑体-GB13000" w:cs="CESI黑体-GB13000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第一章 </w:t>
      </w:r>
      <w:r>
        <w:rPr>
          <w:rFonts w:hint="eastAsia" w:ascii="CESI黑体-GB13000" w:hAnsi="CESI黑体-GB13000" w:eastAsia="CESI黑体-GB13000" w:cs="CESI黑体-GB13000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总则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第一条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  <w:t>为深入贯彻中共中央办公厅、国务院办公厅《关于强化知识产权保护的意见》，落实国家、省、市关于强化知识产权保护工作的部署，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健全知识产权保护社会治理体系，规范我市知识产权保护工作站的建设和管理，依据《广东省知识产权保护条例》《深圳经济特区知识产权保护条例》等法规规定，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制定本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办法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第二条  深圳市知识产权保护工作站（以下简称“工作站”）的设立、备案、管理等工作适用本方法。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 行业协会、商会、产业园区和商品交易市场管理方等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具有法人资格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的组织可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自主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设立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工作站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，为我市行业、领域、区域的企业和公众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提供知识产权保护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综合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鼓励成立或加入知识产权保护工作站联盟（以下简称“联盟”）。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第四条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 行业协会、商会根据需要可以设立工作站的分站。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第五条  工作站的建设和管理遵循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自主建设、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自愿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备案、定期评价、动态管理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的原则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spacing w:line="560" w:lineRule="exact"/>
        <w:ind w:left="-10" w:leftChars="0" w:firstLine="640" w:firstLineChars="0"/>
        <w:jc w:val="left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深圳市市场监督管理局（深圳市知识产权局）（以下简称“市局”）负责工作站的备案、管理和指导等工作。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/>
          <w:color w:val="000000" w:themeColor="text1"/>
          <w:sz w:val="32"/>
          <w:lang w:val="en" w:eastAsia="zh-CN"/>
          <w14:textFill>
            <w14:solidFill>
              <w14:schemeClr w14:val="tx1"/>
            </w14:solidFill>
          </w14:textFill>
        </w:rPr>
        <w:t>市局可通过购买服务的方式，委托具有知识产权专业能力的机构协助开展前款所述工作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560" w:lineRule="exact"/>
        <w:ind w:left="630" w:leftChars="0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 w:firstLineChars="0"/>
        <w:jc w:val="center"/>
        <w:rPr>
          <w:rFonts w:hint="eastAsia" w:ascii="CESI黑体-GB13000" w:hAnsi="CESI黑体-GB13000" w:eastAsia="CESI黑体-GB13000" w:cs="CESI黑体-GB13000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ESI黑体-GB13000" w:hAnsi="CESI黑体-GB13000" w:eastAsia="CESI黑体-GB13000" w:cs="CESI黑体-GB13000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第二章 工作站备案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第七条  工作站设立后可向市局申请备案。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申请备案应当具备以下条件：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（一）设立主体需成立满1年以上；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（二）具有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保障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维持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工作站正常运行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所需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场地、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设施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及资金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（三）负责人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熟悉知识产权相关法律法规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政策；</w:t>
      </w:r>
    </w:p>
    <w:p>
      <w:pPr>
        <w:numPr>
          <w:ilvl w:val="0"/>
          <w:numId w:val="0"/>
        </w:num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配备至少1名专职或兼职的知识产权工作人员；</w:t>
      </w:r>
    </w:p>
    <w:p>
      <w:pPr>
        <w:numPr>
          <w:ilvl w:val="0"/>
          <w:numId w:val="0"/>
        </w:num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（五）建立知识产权保护工作制度；</w:t>
      </w:r>
    </w:p>
    <w:p>
      <w:pPr>
        <w:numPr>
          <w:ilvl w:val="0"/>
          <w:numId w:val="0"/>
        </w:num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（六）设立主体、工作站负责人及工作人员未被列入严重违法失信名单。</w:t>
      </w:r>
    </w:p>
    <w:p>
      <w:pPr>
        <w:numPr>
          <w:ilvl w:val="0"/>
          <w:numId w:val="0"/>
        </w:num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第八条  工作站申请备案时应提交以下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材料：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（一）工作站备案申请表；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（二）设立主体的法人登记证书；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（三）关于保障工作站运行所需场地、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设施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及资金的说明；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（四）知识产权保护工作制度；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（五）设立主体、工作站负责人及工作人员未被列入严重违法失信名单的承诺。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第九条  市局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在收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到申请备案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之日起五个工作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日内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作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形式审查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，符合条件的，予以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备案；不符合条件的，不予备案并告知理由。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第十条  工作站的名称一般为“深圳市+行业（产业园区、专业市场等）+知识产权保护工作站”。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分站的名称，一般在工作站的名称后加（**分站）。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firstLine="640" w:firstLineChars="200"/>
        <w:jc w:val="both"/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 xml:space="preserve">第十一条 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工作站分站的备案参照工作站备案的有关要求。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第十二条  工作站（含分站）有下列情形之一的，应当在发生之日起30个自然日内向市局备案，并提交相关证明文件：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（一）设立主体名称、法定代表人等变更；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（二）工作站名称、地址、负责人、联络人等变更；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（三）其他重要事项变更。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firstLine="0" w:firstLineChars="0"/>
        <w:jc w:val="center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13000" w:hAnsi="CESI黑体-GB13000" w:eastAsia="CESI黑体-GB13000" w:cs="CESI黑体-GB13000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第三章 工作站工作内容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firstLine="640" w:firstLineChars="200"/>
        <w:jc w:val="both"/>
        <w:rPr>
          <w:rFonts w:hint="default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第十三条  工作站可结合实际，开展商标、专利、版权、地理标志、商业秘密、集成电路布图设计、植物新品种和法律规定的其他类型知识产权保护相关工作。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第十四条  工作站提供知识产权保护综合服务，主要包括：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6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（一）信息咨询。提供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知识产权</w:t>
      </w:r>
      <w:r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文献数据库信息检索、推广信息服务资源、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公共政策</w:t>
      </w:r>
      <w:r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咨询等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信息</w:t>
      </w:r>
      <w:r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（二）宣传培训。组织开展知识产权法律法规、政策宣讲及业务培训，提高知识产权保护意识和能力；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（三）业务指导。为服务对象提供知识产权管理、运营、合规、维权等业务指导，帮助服务对象建立健全知识产权工作制度，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优化知识产权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管理和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布局，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提升知识产权创造、保护和运用能力；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（四）维权援助。建立畅通维权渠道，对接维权服务资源，开展知识产权维权援助和志愿活动。建立健全维权互助机制，提升维权能力；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（五）纠纷调解。成立或加入纠纷调解组织，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配备知识产权调解人员，参与知识产权纠纷调解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快速化解知识产权纠纷；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（六）自律管理。建立完善知识产权自律机制，倡导知识产权行业自律和诚信守法，自觉抵制知识产权侵权行为，营造风清气正的市场竞争环境；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（七）沟通合作。加强沟通交流，促进知识产权信息、资源的合作和共享，提高服务对象知识产权保护水平和竞争力；</w:t>
      </w:r>
    </w:p>
    <w:p>
      <w:pPr>
        <w:numPr>
          <w:ilvl w:val="-1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监测分析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开展知识产权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状况调查研究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动态了解企业、行业、产业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知识产权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发展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状况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及时反馈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海内外知识产权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保护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风险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隐患和服务需求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积极为知识产权政策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制定建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言献策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numPr>
          <w:ilvl w:val="-1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（九）配合知识产权管理部门开展知识产权保护工作；</w:t>
      </w:r>
    </w:p>
    <w:p>
      <w:pPr>
        <w:numPr>
          <w:ilvl w:val="-1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（十）其他知识产权综合服务工作。</w:t>
      </w:r>
    </w:p>
    <w:p>
      <w:pPr>
        <w:numPr>
          <w:ilvl w:val="-1"/>
          <w:numId w:val="0"/>
        </w:numPr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pacing w:before="157" w:beforeLines="50" w:after="157" w:afterLines="50" w:line="560" w:lineRule="exact"/>
        <w:jc w:val="center"/>
        <w:rPr>
          <w:rFonts w:hint="default" w:ascii="仿宋_GB2312" w:hAnsi="仿宋_GB2312" w:eastAsia="仿宋_GB2312" w:cs="仿宋_GB2312"/>
          <w:b/>
          <w:bCs w:val="0"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13000" w:hAnsi="CESI黑体-GB13000" w:eastAsia="CESI黑体-GB13000" w:cs="CESI黑体-GB13000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第四章 工作站管理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rightChars="0" w:firstLine="640" w:firstLineChars="200"/>
        <w:jc w:val="both"/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第十五条  工作站应加强人员配备，组织开展业务培训，提升工作人员知识产权服务能力。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rightChars="0" w:firstLine="640" w:firstLineChars="200"/>
        <w:jc w:val="both"/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第十六条  工作站应自觉接受</w:t>
      </w:r>
      <w:r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社会公众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监督，</w:t>
      </w:r>
      <w:r>
        <w:rPr>
          <w:rFonts w:hint="default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不得以工作站名义开展有偿知识产权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default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活动或者从事违法违规活动。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第十七条  工作站应加强数据统计分析，如实记录工作开展情况，妥善保存有关的文字、影像等业务资料。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第十八条  工作站应定期向市局报送知识产权保护工作情况。</w:t>
      </w:r>
      <w:r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每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年七月</w:t>
      </w:r>
      <w:r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报送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上半年度</w:t>
      </w:r>
      <w:r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工作简报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，每年一月份报送上一年度工作报告。</w:t>
      </w:r>
    </w:p>
    <w:p>
      <w:pPr>
        <w:numPr>
          <w:ilvl w:val="-1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第十九条  联盟应建立健全工作机制，加强对联盟成员单位开展知识产权保护服务工作的统筹组织和指导，着力搭建大保护平台。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第二十条  市局统筹推进全市工作站规范化建设工作，提升工作站服务能力和水平。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各区（新区）市场监管局对本辖区内工作站进行业务指导及工作协调。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第二十一条  市局每年第一季度组织对上一年度1月1日前（不含当日）已备案的工作站开展年度工作评价。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工作站分站的工作纳入对工作站的评价。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第二十二条  工作站年度评价采取书面评审的方式开展，必要时可组织开展实地核查。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年度评价的主要内容：</w:t>
      </w:r>
    </w:p>
    <w:p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-10" w:leftChars="0" w:right="0" w:rightChars="0" w:firstLine="640" w:firstLineChars="0"/>
        <w:jc w:val="both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基础条件。如建站主体规模、场地设置、人员配备、经费保障等情况；</w:t>
      </w:r>
    </w:p>
    <w:p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-10" w:leftChars="0" w:right="0" w:rightChars="0" w:firstLine="640" w:firstLineChars="0"/>
        <w:jc w:val="both"/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工作机制。如制度建设、工作规划、信息报送、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自律管理、沟通合作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等情况；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（三）综合服务。如宣传培训、业务指导、维权援助、纠纷调解、监测分析、孵化运营、创新成效及工作亮点等情况。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第二十三条  工作站年度评价结果分为优秀、良好、合格和不合格四个等次。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rightChars="0" w:firstLine="640" w:firstLineChars="200"/>
        <w:jc w:val="both"/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对评价结果为合格以上等次的工作站，市局在政策扶持、宣传培训、专家指导等方面予以鼓励和支持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rightChars="0" w:firstLine="640" w:firstLineChars="200"/>
        <w:jc w:val="both"/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对评价结果为优秀、良好的工作站，市局对其先进经验予以宣传推广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rightChars="0" w:firstLine="640" w:firstLineChars="200"/>
        <w:jc w:val="both"/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对评价结果为不合格的工作站，通过约谈等行政指导方式，督促其改进工作。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rightChars="0" w:firstLine="640" w:firstLineChars="200"/>
        <w:jc w:val="both"/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第二十四条  市局通过适当方式对工作站评价结果予以公示。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第二十五条  有下列情形之一的，取消工作站（含分站）备案：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设立主体申请取消备案的；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设立主体已被吊销、注销或撤销的；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（三）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工作站连续两年度不参加评价或评价结果为“不合格”等次的；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（四）设立主体存在严重违法失信行为，已不符合工作站备案条件的；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（五）在备案过程中存在提交虚假材料等欺骗手段情节严重的；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（六）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其他应予取消备案的情形。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第二十六条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申请取消备案的，市局在收到申请后5个工作日内取消备案。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对存在第二十五条第二项至第六项规定的情形，设立主体不申请取消备案的，市局可直接取消工作站备案。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第二十七条  市局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取消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工作站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备案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应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以书面形式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通知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设立主体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第二十八条  取消备案后再次申请备案的，应间隔至少二年。</w:t>
      </w:r>
    </w:p>
    <w:p>
      <w:pPr>
        <w:widowControl/>
        <w:spacing w:before="157" w:beforeLines="50" w:after="157" w:afterLines="50" w:line="56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6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CESI黑体-GB13000" w:hAnsi="CESI黑体-GB13000" w:eastAsia="CESI黑体-GB13000" w:cs="CESI黑体-GB13000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CESI黑体-GB13000" w:hAnsi="CESI黑体-GB13000" w:eastAsia="CESI黑体-GB13000" w:cs="CESI黑体-GB13000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CESI黑体-GB13000" w:hAnsi="CESI黑体-GB13000" w:eastAsia="CESI黑体-GB13000" w:cs="CESI黑体-GB13000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章 附则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二十九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办法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由深圳市市场监督管理局（深圳市知识产权局）解释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三十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办法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自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202*年**月**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日起实施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，有效期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5年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。</w:t>
      </w:r>
    </w:p>
    <w:p>
      <w:pPr>
        <w:rPr>
          <w:b w:val="0"/>
          <w:bCs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12</w:t>
    </w:r>
    <w: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A3A33B"/>
    <w:multiLevelType w:val="singleLevel"/>
    <w:tmpl w:val="DAA3A33B"/>
    <w:lvl w:ilvl="0" w:tentative="0">
      <w:start w:val="6"/>
      <w:numFmt w:val="chineseCounting"/>
      <w:suff w:val="space"/>
      <w:lvlText w:val="第%1条"/>
      <w:lvlJc w:val="left"/>
      <w:pPr>
        <w:ind w:left="-10"/>
      </w:pPr>
      <w:rPr>
        <w:rFonts w:hint="eastAsia"/>
      </w:rPr>
    </w:lvl>
  </w:abstractNum>
  <w:abstractNum w:abstractNumId="1">
    <w:nsid w:val="25AB1D33"/>
    <w:multiLevelType w:val="singleLevel"/>
    <w:tmpl w:val="25AB1D33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3ZmU5ZWRjNzE0MjBjZTdmNDk0MjNiOGRkZDQ4OTAifQ=="/>
  </w:docVars>
  <w:rsids>
    <w:rsidRoot w:val="00000000"/>
    <w:rsid w:val="023224D7"/>
    <w:rsid w:val="027B64A3"/>
    <w:rsid w:val="02D97CBE"/>
    <w:rsid w:val="02F61A39"/>
    <w:rsid w:val="04C546B4"/>
    <w:rsid w:val="05E21A13"/>
    <w:rsid w:val="068D0F8D"/>
    <w:rsid w:val="06F12178"/>
    <w:rsid w:val="073E2E05"/>
    <w:rsid w:val="086E3098"/>
    <w:rsid w:val="09B71CC1"/>
    <w:rsid w:val="0A8A32C2"/>
    <w:rsid w:val="0ABE3074"/>
    <w:rsid w:val="0C6649B1"/>
    <w:rsid w:val="0D4640A3"/>
    <w:rsid w:val="0E1939AF"/>
    <w:rsid w:val="0E2D65E6"/>
    <w:rsid w:val="0F0A1E3A"/>
    <w:rsid w:val="10797F47"/>
    <w:rsid w:val="110D69D7"/>
    <w:rsid w:val="11993A74"/>
    <w:rsid w:val="12BE3495"/>
    <w:rsid w:val="12C65F38"/>
    <w:rsid w:val="139E7D3A"/>
    <w:rsid w:val="149812BF"/>
    <w:rsid w:val="155E7AC3"/>
    <w:rsid w:val="167078B5"/>
    <w:rsid w:val="16DFD98C"/>
    <w:rsid w:val="193C7ABC"/>
    <w:rsid w:val="196C19C0"/>
    <w:rsid w:val="19A34279"/>
    <w:rsid w:val="19BC52F2"/>
    <w:rsid w:val="19BC65CB"/>
    <w:rsid w:val="19FFD311"/>
    <w:rsid w:val="1A0847C8"/>
    <w:rsid w:val="1AFB2F24"/>
    <w:rsid w:val="1B7B01B7"/>
    <w:rsid w:val="1C3E3758"/>
    <w:rsid w:val="1C655CA3"/>
    <w:rsid w:val="1CB73F51"/>
    <w:rsid w:val="1E033EC2"/>
    <w:rsid w:val="1E6C8EB2"/>
    <w:rsid w:val="1F4F651B"/>
    <w:rsid w:val="1FA372DF"/>
    <w:rsid w:val="1FDD9B18"/>
    <w:rsid w:val="1FF7AA53"/>
    <w:rsid w:val="2006250C"/>
    <w:rsid w:val="20286560"/>
    <w:rsid w:val="228445AF"/>
    <w:rsid w:val="22B05D93"/>
    <w:rsid w:val="22C56470"/>
    <w:rsid w:val="24C94272"/>
    <w:rsid w:val="2675494F"/>
    <w:rsid w:val="291C7F3A"/>
    <w:rsid w:val="2950348D"/>
    <w:rsid w:val="2B2214AC"/>
    <w:rsid w:val="2DFE249D"/>
    <w:rsid w:val="2F3A2FF2"/>
    <w:rsid w:val="2FC677C7"/>
    <w:rsid w:val="301B1644"/>
    <w:rsid w:val="3075564C"/>
    <w:rsid w:val="31F70024"/>
    <w:rsid w:val="31FF9AF8"/>
    <w:rsid w:val="321219C6"/>
    <w:rsid w:val="33D237F8"/>
    <w:rsid w:val="34723625"/>
    <w:rsid w:val="357F9E59"/>
    <w:rsid w:val="36991624"/>
    <w:rsid w:val="369E9DC0"/>
    <w:rsid w:val="369F2B12"/>
    <w:rsid w:val="37917D2D"/>
    <w:rsid w:val="37D5169B"/>
    <w:rsid w:val="38430C44"/>
    <w:rsid w:val="38C72E94"/>
    <w:rsid w:val="39AFE1D9"/>
    <w:rsid w:val="39FD54C3"/>
    <w:rsid w:val="3A481C8E"/>
    <w:rsid w:val="3BAF4ED8"/>
    <w:rsid w:val="3BBFDA49"/>
    <w:rsid w:val="3BEFE7A4"/>
    <w:rsid w:val="3C79588F"/>
    <w:rsid w:val="3C9B2F8C"/>
    <w:rsid w:val="3CAB6892"/>
    <w:rsid w:val="3E7F0088"/>
    <w:rsid w:val="3EEA58FC"/>
    <w:rsid w:val="3F71961B"/>
    <w:rsid w:val="3FAF732C"/>
    <w:rsid w:val="3FE1C93F"/>
    <w:rsid w:val="3FED4DBB"/>
    <w:rsid w:val="3FFD691B"/>
    <w:rsid w:val="424647F5"/>
    <w:rsid w:val="43102E85"/>
    <w:rsid w:val="435780DD"/>
    <w:rsid w:val="43661DA0"/>
    <w:rsid w:val="43723B25"/>
    <w:rsid w:val="43836C89"/>
    <w:rsid w:val="44A8651A"/>
    <w:rsid w:val="44D25134"/>
    <w:rsid w:val="460D1D4B"/>
    <w:rsid w:val="476436D3"/>
    <w:rsid w:val="47B8C372"/>
    <w:rsid w:val="47BE9E64"/>
    <w:rsid w:val="49F70642"/>
    <w:rsid w:val="4B486363"/>
    <w:rsid w:val="4B8D5632"/>
    <w:rsid w:val="4BBDE135"/>
    <w:rsid w:val="4D89285E"/>
    <w:rsid w:val="4DEA88F3"/>
    <w:rsid w:val="4DEBA1A0"/>
    <w:rsid w:val="4F8D1A6A"/>
    <w:rsid w:val="511CC475"/>
    <w:rsid w:val="519C61B6"/>
    <w:rsid w:val="52FFF00C"/>
    <w:rsid w:val="54DA7C70"/>
    <w:rsid w:val="55EB268C"/>
    <w:rsid w:val="569B1CF9"/>
    <w:rsid w:val="56E4326C"/>
    <w:rsid w:val="570352E2"/>
    <w:rsid w:val="572E382E"/>
    <w:rsid w:val="5737594B"/>
    <w:rsid w:val="57EFDC65"/>
    <w:rsid w:val="5827338F"/>
    <w:rsid w:val="58491D71"/>
    <w:rsid w:val="58C3275B"/>
    <w:rsid w:val="593BA0BB"/>
    <w:rsid w:val="5AB35FFD"/>
    <w:rsid w:val="5AB74275"/>
    <w:rsid w:val="5AFD2AE6"/>
    <w:rsid w:val="5B9F64C8"/>
    <w:rsid w:val="5BBC471B"/>
    <w:rsid w:val="5BC51F00"/>
    <w:rsid w:val="5DBBB3B8"/>
    <w:rsid w:val="5DDE3D48"/>
    <w:rsid w:val="5DF4D1A2"/>
    <w:rsid w:val="5DFF27BD"/>
    <w:rsid w:val="5E375948"/>
    <w:rsid w:val="5F8E5CA3"/>
    <w:rsid w:val="5FBC4018"/>
    <w:rsid w:val="5FBC95F3"/>
    <w:rsid w:val="5FDADE78"/>
    <w:rsid w:val="5FFC25FE"/>
    <w:rsid w:val="5FFFC96A"/>
    <w:rsid w:val="627149B7"/>
    <w:rsid w:val="63251F84"/>
    <w:rsid w:val="63FF5A2C"/>
    <w:rsid w:val="659B6CEE"/>
    <w:rsid w:val="65BCE113"/>
    <w:rsid w:val="65FD0F95"/>
    <w:rsid w:val="669B5EF4"/>
    <w:rsid w:val="674FC4CB"/>
    <w:rsid w:val="67DBFBD6"/>
    <w:rsid w:val="693C3F17"/>
    <w:rsid w:val="694A649A"/>
    <w:rsid w:val="6A1442A4"/>
    <w:rsid w:val="6ABB64E1"/>
    <w:rsid w:val="6B673003"/>
    <w:rsid w:val="6B73FEE2"/>
    <w:rsid w:val="6BBFC974"/>
    <w:rsid w:val="6BED50E6"/>
    <w:rsid w:val="6BFD8FDB"/>
    <w:rsid w:val="6C53360D"/>
    <w:rsid w:val="6D8D1488"/>
    <w:rsid w:val="6DBF282D"/>
    <w:rsid w:val="6E7111F6"/>
    <w:rsid w:val="6EAA2476"/>
    <w:rsid w:val="6EDC2106"/>
    <w:rsid w:val="6EE34479"/>
    <w:rsid w:val="6EFB3312"/>
    <w:rsid w:val="6EFFE47B"/>
    <w:rsid w:val="6F0E1ACD"/>
    <w:rsid w:val="6F191769"/>
    <w:rsid w:val="6F35FADB"/>
    <w:rsid w:val="6F5FC847"/>
    <w:rsid w:val="6F77C714"/>
    <w:rsid w:val="6FEFD785"/>
    <w:rsid w:val="6FF636FE"/>
    <w:rsid w:val="711A7A9B"/>
    <w:rsid w:val="712C30A8"/>
    <w:rsid w:val="71B54A25"/>
    <w:rsid w:val="72E14913"/>
    <w:rsid w:val="72FD1274"/>
    <w:rsid w:val="737F0A7B"/>
    <w:rsid w:val="73D88BDE"/>
    <w:rsid w:val="73FD45BB"/>
    <w:rsid w:val="73FE8FD2"/>
    <w:rsid w:val="745603FE"/>
    <w:rsid w:val="75470278"/>
    <w:rsid w:val="75577E1E"/>
    <w:rsid w:val="763938D2"/>
    <w:rsid w:val="766DD408"/>
    <w:rsid w:val="76975976"/>
    <w:rsid w:val="76BBA046"/>
    <w:rsid w:val="76FE378F"/>
    <w:rsid w:val="777F7A47"/>
    <w:rsid w:val="778F4682"/>
    <w:rsid w:val="77EF851E"/>
    <w:rsid w:val="77FF46FD"/>
    <w:rsid w:val="78FDD68C"/>
    <w:rsid w:val="79031747"/>
    <w:rsid w:val="794704FA"/>
    <w:rsid w:val="79A57788"/>
    <w:rsid w:val="79B905E2"/>
    <w:rsid w:val="7A041F98"/>
    <w:rsid w:val="7A0F725C"/>
    <w:rsid w:val="7B753643"/>
    <w:rsid w:val="7BBE0E86"/>
    <w:rsid w:val="7BBF597F"/>
    <w:rsid w:val="7BD43C89"/>
    <w:rsid w:val="7BE6481B"/>
    <w:rsid w:val="7BECAD4D"/>
    <w:rsid w:val="7BEE4A72"/>
    <w:rsid w:val="7BEE88FB"/>
    <w:rsid w:val="7BFF1859"/>
    <w:rsid w:val="7BFF2740"/>
    <w:rsid w:val="7CFDFF4E"/>
    <w:rsid w:val="7D06488E"/>
    <w:rsid w:val="7D1F3D3A"/>
    <w:rsid w:val="7D75C945"/>
    <w:rsid w:val="7DCF352E"/>
    <w:rsid w:val="7DD9E103"/>
    <w:rsid w:val="7DDF8396"/>
    <w:rsid w:val="7DDFC87A"/>
    <w:rsid w:val="7DEA0391"/>
    <w:rsid w:val="7DFE0C83"/>
    <w:rsid w:val="7E6FD723"/>
    <w:rsid w:val="7E7BE931"/>
    <w:rsid w:val="7EA11533"/>
    <w:rsid w:val="7EEFCC23"/>
    <w:rsid w:val="7EF7C654"/>
    <w:rsid w:val="7EFBB51C"/>
    <w:rsid w:val="7EFFB542"/>
    <w:rsid w:val="7F177DF8"/>
    <w:rsid w:val="7F38ECE6"/>
    <w:rsid w:val="7F5E99C0"/>
    <w:rsid w:val="7F6E230D"/>
    <w:rsid w:val="7F97A2AF"/>
    <w:rsid w:val="7F9B1150"/>
    <w:rsid w:val="7FBABD11"/>
    <w:rsid w:val="7FBB606C"/>
    <w:rsid w:val="7FDDCCB0"/>
    <w:rsid w:val="7FDEBCC5"/>
    <w:rsid w:val="7FEA0FF8"/>
    <w:rsid w:val="7FEDCAD3"/>
    <w:rsid w:val="7FF666EF"/>
    <w:rsid w:val="7FF6F5DC"/>
    <w:rsid w:val="7FF8662C"/>
    <w:rsid w:val="7FFB0B47"/>
    <w:rsid w:val="7FFD83BD"/>
    <w:rsid w:val="8E7B63E7"/>
    <w:rsid w:val="8FB678D8"/>
    <w:rsid w:val="92BF031A"/>
    <w:rsid w:val="93C4447B"/>
    <w:rsid w:val="9CF7F544"/>
    <w:rsid w:val="9DBCE1A7"/>
    <w:rsid w:val="9EFF62E3"/>
    <w:rsid w:val="9F7F6C44"/>
    <w:rsid w:val="A9F0896E"/>
    <w:rsid w:val="AED7BC1E"/>
    <w:rsid w:val="AFAAF897"/>
    <w:rsid w:val="AFBB9A7B"/>
    <w:rsid w:val="AFDD6570"/>
    <w:rsid w:val="B3EBEE17"/>
    <w:rsid w:val="B3FF166A"/>
    <w:rsid w:val="B52D59A9"/>
    <w:rsid w:val="B5CF2F04"/>
    <w:rsid w:val="B6E317BD"/>
    <w:rsid w:val="B6FF7944"/>
    <w:rsid w:val="B74E053E"/>
    <w:rsid w:val="B7BF749B"/>
    <w:rsid w:val="B7F9C039"/>
    <w:rsid w:val="B81B038C"/>
    <w:rsid w:val="B99BCFD7"/>
    <w:rsid w:val="B9D627D4"/>
    <w:rsid w:val="B9D743C8"/>
    <w:rsid w:val="B9F967EF"/>
    <w:rsid w:val="BBFD52B1"/>
    <w:rsid w:val="BBFF4CDE"/>
    <w:rsid w:val="BF775DA8"/>
    <w:rsid w:val="BF79ECF5"/>
    <w:rsid w:val="BFAE24E3"/>
    <w:rsid w:val="BFAFBBBF"/>
    <w:rsid w:val="BFD3BA30"/>
    <w:rsid w:val="BFF78AFF"/>
    <w:rsid w:val="BFFFEBAC"/>
    <w:rsid w:val="CEF404C9"/>
    <w:rsid w:val="CFF8F9C5"/>
    <w:rsid w:val="D5B79D31"/>
    <w:rsid w:val="D6E351D3"/>
    <w:rsid w:val="D6F63B32"/>
    <w:rsid w:val="D77BFDEB"/>
    <w:rsid w:val="D77CCFFE"/>
    <w:rsid w:val="D79DDE7C"/>
    <w:rsid w:val="D7BE99B5"/>
    <w:rsid w:val="D7FDC7D3"/>
    <w:rsid w:val="DBFE9F89"/>
    <w:rsid w:val="DDB57417"/>
    <w:rsid w:val="DF3FA11B"/>
    <w:rsid w:val="DF57ECB9"/>
    <w:rsid w:val="DF5BAEC5"/>
    <w:rsid w:val="DFBE1DEE"/>
    <w:rsid w:val="DFBF6732"/>
    <w:rsid w:val="DFCBD929"/>
    <w:rsid w:val="DFE7FBC5"/>
    <w:rsid w:val="E4FF791C"/>
    <w:rsid w:val="E5C6E410"/>
    <w:rsid w:val="E6BDCF18"/>
    <w:rsid w:val="E6FD15F4"/>
    <w:rsid w:val="E77FAC28"/>
    <w:rsid w:val="EAFF5442"/>
    <w:rsid w:val="ECDD942D"/>
    <w:rsid w:val="ECF5A83F"/>
    <w:rsid w:val="ED5DB810"/>
    <w:rsid w:val="EDB542BA"/>
    <w:rsid w:val="EE704DE5"/>
    <w:rsid w:val="EE9F9BE6"/>
    <w:rsid w:val="EEB61A3F"/>
    <w:rsid w:val="EEBBA728"/>
    <w:rsid w:val="EEF20265"/>
    <w:rsid w:val="EEFF7B86"/>
    <w:rsid w:val="EF3F94CF"/>
    <w:rsid w:val="EFAF286C"/>
    <w:rsid w:val="EFAFFE7C"/>
    <w:rsid w:val="EFFAD41E"/>
    <w:rsid w:val="EFFF57B0"/>
    <w:rsid w:val="EFFF9D7B"/>
    <w:rsid w:val="F1FEEE17"/>
    <w:rsid w:val="F21FEF3A"/>
    <w:rsid w:val="F2B21B69"/>
    <w:rsid w:val="F534E0E5"/>
    <w:rsid w:val="F57B3AC4"/>
    <w:rsid w:val="F5FEDB2E"/>
    <w:rsid w:val="F61609CB"/>
    <w:rsid w:val="F68F442B"/>
    <w:rsid w:val="F6B9E725"/>
    <w:rsid w:val="F6F9D4BB"/>
    <w:rsid w:val="F6FB6515"/>
    <w:rsid w:val="F79BC6FA"/>
    <w:rsid w:val="F7BDE734"/>
    <w:rsid w:val="F7CF0D97"/>
    <w:rsid w:val="F7DB13B5"/>
    <w:rsid w:val="F7F9918C"/>
    <w:rsid w:val="F7FE2044"/>
    <w:rsid w:val="F7FF0434"/>
    <w:rsid w:val="F7FF2070"/>
    <w:rsid w:val="FB5C4668"/>
    <w:rsid w:val="FB7F5F6B"/>
    <w:rsid w:val="FBB3DD9F"/>
    <w:rsid w:val="FBBCD0E8"/>
    <w:rsid w:val="FBBF14F4"/>
    <w:rsid w:val="FBDE516B"/>
    <w:rsid w:val="FBDFD59B"/>
    <w:rsid w:val="FBEB8C5E"/>
    <w:rsid w:val="FBED0982"/>
    <w:rsid w:val="FBF9FB6D"/>
    <w:rsid w:val="FBFB264C"/>
    <w:rsid w:val="FBFD293F"/>
    <w:rsid w:val="FBFE5ABC"/>
    <w:rsid w:val="FCCB2AC5"/>
    <w:rsid w:val="FCDAF823"/>
    <w:rsid w:val="FCF245C1"/>
    <w:rsid w:val="FCFF9377"/>
    <w:rsid w:val="FD3B700F"/>
    <w:rsid w:val="FD7E99B8"/>
    <w:rsid w:val="FD7F82ED"/>
    <w:rsid w:val="FDB8862C"/>
    <w:rsid w:val="FDBF8366"/>
    <w:rsid w:val="FDBFAAD7"/>
    <w:rsid w:val="FDFF18D4"/>
    <w:rsid w:val="FDFFC518"/>
    <w:rsid w:val="FEBD1D4C"/>
    <w:rsid w:val="FEFF7489"/>
    <w:rsid w:val="FF2A700A"/>
    <w:rsid w:val="FF309B10"/>
    <w:rsid w:val="FF3F8089"/>
    <w:rsid w:val="FF46BDF7"/>
    <w:rsid w:val="FF766C1B"/>
    <w:rsid w:val="FF77ACDE"/>
    <w:rsid w:val="FF9E94DD"/>
    <w:rsid w:val="FFB77285"/>
    <w:rsid w:val="FFBF1EFA"/>
    <w:rsid w:val="FFD0B6DD"/>
    <w:rsid w:val="FFEBFA62"/>
    <w:rsid w:val="FFF38FFC"/>
    <w:rsid w:val="FFF6CD58"/>
    <w:rsid w:val="FFF7534C"/>
    <w:rsid w:val="FFF76454"/>
    <w:rsid w:val="FFFE239B"/>
    <w:rsid w:val="FFFF4C64"/>
    <w:rsid w:val="FFFF60A4"/>
    <w:rsid w:val="FFFFE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line="560" w:lineRule="exact"/>
      <w:jc w:val="center"/>
      <w:outlineLvl w:val="0"/>
    </w:pPr>
    <w:rPr>
      <w:rFonts w:ascii="华文中宋" w:hAnsi="华文中宋" w:eastAsia="华文中宋" w:cs="方正小标宋简体"/>
      <w:b/>
      <w:bCs/>
      <w:kern w:val="0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2021-10-29T00:11:00Z</dcterms:created>
  <dc:creator>kuangph</dc:creator>
  <cp:lastModifiedBy>zengwr</cp:lastModifiedBy>
  <cp:lastPrinted>2021-11-04T01:31:00Z</cp:lastPrinted>
  <dcterms:modified xsi:type="dcterms:W3CDTF">2023-09-19T09:07:14Z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7E5E15C640834791947108461E9C6D3A_12</vt:lpwstr>
  </property>
</Properties>
</file>