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wordWrap w:val="0"/>
        <w:spacing w:beforeAutospacing="0" w:afterAutospacing="0" w:line="560" w:lineRule="exact"/>
        <w:ind w:right="420" w:rightChars="20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方正黑体_GBK" w:hAnsi="方正黑体_GBK" w:eastAsia="方正黑体_GBK" w:cs="方正黑体_GBK"/>
          <w:sz w:val="32"/>
          <w:szCs w:val="32"/>
          <w:lang w:val="en"/>
        </w:rPr>
        <w:t>2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深圳市市场监督管理局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2023年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等级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专业化食品安全检查员</w:t>
      </w:r>
    </w:p>
    <w:p>
      <w:pPr>
        <w:spacing w:line="560" w:lineRule="exact"/>
        <w:ind w:firstLine="0" w:firstLineChars="0"/>
        <w:jc w:val="center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（食品经营）承诺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责任书</w:t>
      </w:r>
    </w:p>
    <w:p>
      <w:pPr>
        <w:pStyle w:val="2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290830</wp:posOffset>
                </wp:positionV>
                <wp:extent cx="5476875" cy="857250"/>
                <wp:effectExtent l="28575" t="28575" r="38100" b="2857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141730" y="1925320"/>
                          <a:ext cx="5476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0000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2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hint="default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b/>
                                <w:bCs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【重要提示】</w:t>
                            </w:r>
                            <w:r>
                              <w:rPr>
                                <w:rFonts w:hint="eastAsia" w:ascii="Times New Roman" w:hAnsi="Times New Roman" w:eastAsia="仿宋_GB2312" w:cs="Times New Roman"/>
                                <w:kern w:val="2"/>
                                <w:sz w:val="28"/>
                                <w:szCs w:val="28"/>
                                <w:lang w:val="en-US" w:eastAsia="zh-CN" w:bidi="ar-SA"/>
                              </w:rPr>
                              <w:t>：检查员每年完成年度任务和要求（未安排任务或安排任务不足的情形除外）、，并能自愿递交本书（PDF版）后，市局再统一续聘，无法承担本书内容或未递交的不再续聘。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false" anchor="t" anchorCtr="false" forceAA="false" compatLnSpc="tru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35pt;margin-top:22.9pt;height:67.5pt;width:431.25pt;z-index:251658240;mso-width-relative:page;mso-height-relative:page;" fillcolor="#FFFFFF" filled="t" stroked="t" coordsize="21600,21600" o:gfxdata="UEsFBgAAAAAAAAAAAAAAAAAAAAAAAFBLAwQKAAAAAACHTuJAAAAAAAAAAAAAAAAABAAAAGRycy9Q&#10;SwMEFAAAAAgAh07iQLellxnZAAAACQEAAA8AAABkcnMvZG93bnJldi54bWxNj0FLw0AQhe+C/2EZ&#10;wVu7W2nMErMpIkrBg2CVordtdkxSs7Mhu23qv3c81ds83seb98rVyffiiGPsAhlYzBUIpDq4jhoD&#10;729PMw0iJkvO9oHQwA9GWFWXF6UtXJjoFY+b1AgOoVhYA21KQyFlrFv0Ns7DgMTeVxi9TSzHRrrR&#10;Thzue3mj1K30tiP+0NoBH1qsvzcHb2Cdfd7r5zrt93790ubTh8+2j1tjrq8W6g5EwlM6w/BXn6tD&#10;xZ124UAuit7AbJkzaWCZ8QL2dZbzsWNQKw2yKuX/BdUvUEsDBBQAAAAIAIdO4kDDkj31UAIAAJcE&#10;AAAOAAAAZHJzL2Uyb0RvYy54bWytVN1u0zAUvkfiHSzfszRdu27V0qlsKkKq2KSBuHYdu4nk2MZ2&#10;m5QHgDfYFTfc81x7Dj676TYYEhIiF+45OV/Oz3c+9/yiaxTZCudrowuaHw0oEZqbstbrgn54v3h1&#10;SokPTJdMGS0KuhOeXsxevjhv7VQMTWVUKRxBEu2nrS1oFYKdZpnnlWiYPzJWaASlcQ0LcN06Kx1r&#10;kb1R2XAwOMla40rrDBfe4+3VPkhnKb+UgodrKb0IRBUUvYV0unSu4pnNztl07Zitat63wf6hi4bV&#10;GkUfUl2xwMjG1c9SNTV3xhsZjrhpMiNlzUWaAdPkg9+mua2YFWkWkOPtA03+/6Xl77Y3jtQldkeJ&#10;Zg1WdH/39f7bj/vvX0ge6WmtnwJ1a4EL3WvTFTS4jTiEPN7HwTvpmviLkQggeT7KJ8dgfAf7bDg+&#10;HvZciy4QDsB4NDk5nYwp4UCcjifDcQJkj5ms8+GNMA2JRkEddpkoZtulD2gM0AMkFvZG1eWiVio5&#10;br26VI5sGfa+SE9sGJ/8AlOatGhlkqP433IM8DzPgYxKx09FElvfWeRsT0y0QrfqeiJXptyBR2f2&#10;QvSWL2pMt2Q+3DAH5YEx3KZwjUMqg+ZMb1FSGff5T+8jHoJAlJIWSi6o/7RhTlCi3mpI5SwfjaL0&#10;kzMC03Dc08jqaURvmksD0iAHdJfMiA/qYEpnmo+4dPNYVTLlUYhpjvoQxsG8DPD6IC4vF/P5gw/h&#10;WxaW+tbyXkqRP23mm2BknTYbWdtThZ1FB+pP2+tvarxeT/2Eevw/mf0E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FgAAAGRycy9QSwECFAAU&#10;AAAACACHTuJAt6WXGdkAAAAJAQAADwAAAAAAAAABACAAAAA4AAAAZHJzL2Rvd25yZXYueG1sUEsB&#10;AhQAFAAAAAgAh07iQMOSPfVQAgAAlwQAAA4AAAAAAAAAAQAgAAAAPgEAAGRycy9lMm9Eb2MueG1s&#10;UEsFBgAAAAAGAAYAWQEAAAAGAAAAAA==&#10;">
                <v:fill on="t" focussize="0,0"/>
                <v:stroke weight="4.5pt" color="#FF0000" joinstyle="round"/>
                <v:imagedata o:title=""/>
                <o:lock v:ext="edit" aspectratio="f"/>
                <v:textbox>
                  <w:txbxContent>
                    <w:p>
                      <w:pPr>
                        <w:pStyle w:val="2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hint="default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</w:pP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 xml:space="preserve"> 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b/>
                          <w:bCs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【重要提示】</w:t>
                      </w:r>
                      <w:r>
                        <w:rPr>
                          <w:rFonts w:hint="eastAsia" w:ascii="Times New Roman" w:hAnsi="Times New Roman" w:eastAsia="仿宋_GB2312" w:cs="Times New Roman"/>
                          <w:kern w:val="2"/>
                          <w:sz w:val="28"/>
                          <w:szCs w:val="28"/>
                          <w:lang w:val="en-US" w:eastAsia="zh-CN" w:bidi="ar-SA"/>
                        </w:rPr>
                        <w:t>：检查员每年完成年度任务和要求（未安排任务或安排任务不足的情形除外）、，并能自愿递交本书（PDF版）后，市局再统一续聘，无法承担本书内容或未递交的不再续聘。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  </w:t>
      </w: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为</w:t>
      </w:r>
      <w:r>
        <w:rPr>
          <w:rFonts w:hint="eastAsia" w:eastAsia="仿宋_GB2312"/>
          <w:sz w:val="32"/>
          <w:szCs w:val="32"/>
        </w:rPr>
        <w:t>进一步规范深圳市市场监督管理局专业化职业化食品安全检查员（以下简称检查员）的管理，依据上级检查员管理办法指导意见结合本市</w:t>
      </w:r>
      <w:r>
        <w:rPr>
          <w:rFonts w:hint="eastAsia" w:eastAsia="仿宋_GB2312"/>
          <w:sz w:val="32"/>
          <w:szCs w:val="32"/>
          <w:lang w:eastAsia="zh-CN"/>
        </w:rPr>
        <w:t>要求</w:t>
      </w:r>
      <w:r>
        <w:rPr>
          <w:rFonts w:hint="eastAsia"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  <w:lang w:eastAsia="zh-CN"/>
        </w:rPr>
        <w:t>本人承诺遵守以下管理</w:t>
      </w:r>
      <w:r>
        <w:rPr>
          <w:rFonts w:hint="eastAsia" w:eastAsia="仿宋_GB2312"/>
          <w:sz w:val="32"/>
          <w:szCs w:val="32"/>
        </w:rPr>
        <w:t>要求：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服从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深圳市市场监督管理局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每年</w:t>
      </w: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工作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</w:rPr>
        <w:t>安排</w:t>
      </w: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eastAsia="zh-CN"/>
        </w:rPr>
        <w:t>，按专业等级每年承担以下工作：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（一）初级检查员：</w:t>
      </w:r>
      <w:r>
        <w:rPr>
          <w:rFonts w:hint="eastAsia" w:eastAsia="仿宋_GB2312"/>
          <w:sz w:val="32"/>
          <w:szCs w:val="32"/>
        </w:rPr>
        <w:t>承担与能力相适应的现场检查任务，撰写检查报告,参与制定检查方案、技术文件编写等，每年至少参加2次的检查任务（因选派任务的不足的特殊情况除外）。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（二）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中级检查员</w:t>
      </w:r>
      <w:r>
        <w:rPr>
          <w:rFonts w:hint="eastAsia" w:eastAsia="仿宋_GB2312"/>
          <w:sz w:val="32"/>
          <w:szCs w:val="32"/>
        </w:rPr>
        <w:t>：承担检查组组长，负责本组检查任务的落实，专业编审本组检查报告，每年至少参加6次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hint="eastAsia" w:eastAsia="仿宋_GB2312"/>
          <w:sz w:val="32"/>
          <w:szCs w:val="32"/>
        </w:rPr>
        <w:t>检查任务、每年承担不少于6名初级检查员的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hint="eastAsia" w:eastAsia="仿宋_GB2312"/>
          <w:sz w:val="32"/>
          <w:szCs w:val="32"/>
        </w:rPr>
        <w:t>培训指导等有关工作，</w:t>
      </w:r>
      <w:r>
        <w:rPr>
          <w:rFonts w:hint="eastAsia" w:eastAsia="仿宋_GB2312"/>
          <w:sz w:val="32"/>
          <w:szCs w:val="32"/>
          <w:lang w:eastAsia="zh-CN"/>
        </w:rPr>
        <w:t>按需要</w:t>
      </w:r>
      <w:r>
        <w:rPr>
          <w:rFonts w:hint="eastAsia" w:eastAsia="仿宋_GB2312"/>
          <w:sz w:val="32"/>
          <w:szCs w:val="32"/>
        </w:rPr>
        <w:t>参与重大复杂检查任务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hint="eastAsia" w:eastAsia="仿宋_GB2312"/>
          <w:sz w:val="32"/>
          <w:szCs w:val="32"/>
        </w:rPr>
        <w:t>检查标准及教材编制等工作。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（三）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</w:rPr>
        <w:t>高级检查员：</w:t>
      </w:r>
      <w:r>
        <w:rPr>
          <w:rFonts w:hint="eastAsia" w:eastAsia="仿宋_GB2312"/>
          <w:sz w:val="32"/>
          <w:szCs w:val="32"/>
        </w:rPr>
        <w:t>承担检查组组长，每年至少参加6次</w:t>
      </w:r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hint="eastAsia" w:eastAsia="仿宋_GB2312"/>
          <w:sz w:val="32"/>
          <w:szCs w:val="32"/>
        </w:rPr>
        <w:t>检查任务、每年承担不少于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名中级、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名初级检查员等</w:t>
      </w:r>
      <w:r>
        <w:rPr>
          <w:rFonts w:hint="eastAsia" w:eastAsia="仿宋_GB2312"/>
          <w:sz w:val="32"/>
          <w:szCs w:val="32"/>
          <w:lang w:eastAsia="zh-CN"/>
        </w:rPr>
        <w:t>或</w:t>
      </w:r>
      <w:r>
        <w:rPr>
          <w:rFonts w:hint="eastAsia" w:eastAsia="仿宋_GB2312"/>
          <w:sz w:val="32"/>
          <w:szCs w:val="32"/>
        </w:rPr>
        <w:t>基层监管人员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现场</w:t>
      </w:r>
      <w:r>
        <w:rPr>
          <w:rFonts w:hint="eastAsia" w:eastAsia="仿宋_GB2312"/>
          <w:sz w:val="32"/>
          <w:szCs w:val="32"/>
        </w:rPr>
        <w:t>培训指导等有关工作，每年重点承担不少于20个检查任务专业指导（含20份检查报告的专业把关），每年轮值参与全市重点检查任务的专项</w:t>
      </w:r>
      <w:r>
        <w:rPr>
          <w:rFonts w:hint="eastAsia" w:eastAsia="仿宋_GB2312"/>
          <w:sz w:val="32"/>
          <w:szCs w:val="32"/>
          <w:lang w:eastAsia="zh-CN"/>
        </w:rPr>
        <w:t>检查分析</w:t>
      </w:r>
      <w:r>
        <w:rPr>
          <w:rFonts w:hint="eastAsia" w:eastAsia="仿宋_GB2312"/>
          <w:sz w:val="32"/>
          <w:szCs w:val="32"/>
        </w:rPr>
        <w:t>报告的高级专业把关不少于1次，每年承担检查员的培训授课不少于1次，参与检查员考评、教材编制</w:t>
      </w:r>
      <w:r>
        <w:rPr>
          <w:rFonts w:hint="eastAsia" w:eastAsia="仿宋_GB2312"/>
          <w:sz w:val="32"/>
          <w:szCs w:val="32"/>
          <w:lang w:eastAsia="zh-CN"/>
        </w:rPr>
        <w:t>、</w:t>
      </w:r>
      <w:r>
        <w:rPr>
          <w:rFonts w:eastAsia="仿宋_GB2312"/>
          <w:sz w:val="32"/>
          <w:szCs w:val="32"/>
        </w:rPr>
        <w:t>课题研究</w:t>
      </w:r>
      <w:r>
        <w:rPr>
          <w:rFonts w:hint="eastAsia" w:eastAsia="仿宋_GB2312"/>
          <w:sz w:val="32"/>
          <w:szCs w:val="32"/>
        </w:rPr>
        <w:t>等有关专业管理工作。</w:t>
      </w:r>
    </w:p>
    <w:p>
      <w:pPr>
        <w:numPr>
          <w:ilvl w:val="0"/>
          <w:numId w:val="0"/>
        </w:numPr>
        <w:spacing w:line="560" w:lineRule="exact"/>
        <w:rPr>
          <w:rFonts w:hint="eastAsia" w:eastAsia="仿宋_GB2312"/>
          <w:b/>
          <w:bCs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华文楷体" w:hAnsi="华文楷体" w:eastAsia="华文楷体" w:cs="华文楷体"/>
          <w:b/>
          <w:bCs/>
          <w:sz w:val="32"/>
          <w:szCs w:val="32"/>
          <w:lang w:eastAsia="zh-CN"/>
        </w:rPr>
        <w:t>（四）首席检查员：</w:t>
      </w:r>
      <w:r>
        <w:rPr>
          <w:rFonts w:hint="default" w:eastAsia="仿宋_GB2312"/>
          <w:b w:val="0"/>
          <w:kern w:val="2"/>
          <w:sz w:val="32"/>
          <w:szCs w:val="32"/>
        </w:rPr>
        <w:t>承担食品经营</w:t>
      </w:r>
      <w:r>
        <w:rPr>
          <w:rFonts w:eastAsia="仿宋_GB2312"/>
          <w:b w:val="0"/>
          <w:kern w:val="2"/>
          <w:sz w:val="32"/>
          <w:szCs w:val="32"/>
        </w:rPr>
        <w:t>检查</w:t>
      </w:r>
      <w:r>
        <w:rPr>
          <w:rFonts w:hint="default" w:eastAsia="仿宋_GB2312"/>
          <w:b w:val="0"/>
          <w:kern w:val="2"/>
          <w:sz w:val="32"/>
          <w:szCs w:val="32"/>
        </w:rPr>
        <w:t>员队伍建设与管理</w:t>
      </w:r>
      <w:r>
        <w:rPr>
          <w:rFonts w:eastAsia="仿宋_GB2312"/>
          <w:b w:val="0"/>
          <w:kern w:val="2"/>
          <w:sz w:val="32"/>
          <w:szCs w:val="32"/>
        </w:rPr>
        <w:t>重</w:t>
      </w:r>
      <w:r>
        <w:rPr>
          <w:rFonts w:hint="default" w:eastAsia="仿宋_GB2312"/>
          <w:b w:val="0"/>
          <w:kern w:val="2"/>
          <w:sz w:val="32"/>
          <w:szCs w:val="32"/>
        </w:rPr>
        <w:t>要</w:t>
      </w:r>
      <w:r>
        <w:rPr>
          <w:rFonts w:eastAsia="仿宋_GB2312"/>
          <w:b w:val="0"/>
          <w:kern w:val="2"/>
          <w:sz w:val="32"/>
          <w:szCs w:val="32"/>
        </w:rPr>
        <w:t>改革与发展决策研究</w:t>
      </w:r>
      <w:r>
        <w:rPr>
          <w:rFonts w:hint="default" w:eastAsia="仿宋_GB2312"/>
          <w:b w:val="0"/>
          <w:kern w:val="2"/>
          <w:sz w:val="32"/>
          <w:szCs w:val="32"/>
        </w:rPr>
        <w:t>事项，每年负责全市重点</w:t>
      </w:r>
      <w:r>
        <w:rPr>
          <w:rFonts w:eastAsia="仿宋_GB2312"/>
          <w:b w:val="0"/>
          <w:kern w:val="2"/>
          <w:sz w:val="32"/>
          <w:szCs w:val="32"/>
        </w:rPr>
        <w:t>检查任务</w:t>
      </w:r>
      <w:r>
        <w:rPr>
          <w:rFonts w:hint="default" w:eastAsia="仿宋_GB2312"/>
          <w:b w:val="0"/>
          <w:kern w:val="2"/>
          <w:sz w:val="32"/>
          <w:szCs w:val="32"/>
        </w:rPr>
        <w:t>专项报告的专业总审核不少于3次，每年至少参加6次</w:t>
      </w:r>
      <w:r>
        <w:rPr>
          <w:rFonts w:hint="eastAsia" w:eastAsia="仿宋_GB2312"/>
          <w:b w:val="0"/>
          <w:kern w:val="2"/>
          <w:sz w:val="32"/>
          <w:szCs w:val="32"/>
          <w:lang w:eastAsia="zh-CN"/>
        </w:rPr>
        <w:t>现场</w:t>
      </w:r>
      <w:r>
        <w:rPr>
          <w:rFonts w:hint="default" w:eastAsia="仿宋_GB2312"/>
          <w:b w:val="0"/>
          <w:kern w:val="2"/>
          <w:sz w:val="32"/>
          <w:szCs w:val="32"/>
        </w:rPr>
        <w:t>检查任务</w:t>
      </w:r>
      <w:r>
        <w:rPr>
          <w:rFonts w:hint="eastAsia" w:eastAsia="仿宋_GB2312"/>
          <w:b w:val="0"/>
          <w:kern w:val="2"/>
          <w:sz w:val="32"/>
          <w:szCs w:val="32"/>
          <w:lang w:eastAsia="zh-CN"/>
        </w:rPr>
        <w:t>，</w:t>
      </w:r>
      <w:r>
        <w:rPr>
          <w:rFonts w:hint="default" w:eastAsia="仿宋_GB2312"/>
          <w:b w:val="0"/>
          <w:kern w:val="2"/>
          <w:sz w:val="32"/>
          <w:szCs w:val="32"/>
        </w:rPr>
        <w:t>每年承担不少于3名高级、</w:t>
      </w:r>
      <w:r>
        <w:rPr>
          <w:rFonts w:hint="eastAsia" w:eastAsia="仿宋_GB2312"/>
          <w:b w:val="0"/>
          <w:kern w:val="2"/>
          <w:sz w:val="32"/>
          <w:szCs w:val="32"/>
          <w:lang w:val="en-US" w:eastAsia="zh-CN"/>
        </w:rPr>
        <w:t>6</w:t>
      </w:r>
      <w:r>
        <w:rPr>
          <w:rFonts w:hint="default" w:eastAsia="仿宋_GB2312"/>
          <w:b w:val="0"/>
          <w:kern w:val="2"/>
          <w:sz w:val="32"/>
          <w:szCs w:val="32"/>
        </w:rPr>
        <w:t>名中级</w:t>
      </w:r>
      <w:r>
        <w:rPr>
          <w:rFonts w:hint="eastAsia" w:eastAsia="仿宋_GB2312"/>
          <w:b w:val="0"/>
          <w:kern w:val="2"/>
          <w:sz w:val="32"/>
          <w:szCs w:val="32"/>
          <w:lang w:eastAsia="zh-CN"/>
        </w:rPr>
        <w:t>或初级</w:t>
      </w:r>
      <w:r>
        <w:rPr>
          <w:rFonts w:hint="default" w:eastAsia="仿宋_GB2312"/>
          <w:b w:val="0"/>
          <w:kern w:val="2"/>
          <w:sz w:val="32"/>
          <w:szCs w:val="32"/>
        </w:rPr>
        <w:t>检查员</w:t>
      </w:r>
      <w:r>
        <w:rPr>
          <w:rFonts w:hint="eastAsia" w:eastAsia="仿宋_GB2312"/>
          <w:b w:val="0"/>
          <w:kern w:val="2"/>
          <w:sz w:val="32"/>
          <w:szCs w:val="32"/>
          <w:lang w:eastAsia="zh-CN"/>
        </w:rPr>
        <w:t>或</w:t>
      </w:r>
      <w:r>
        <w:rPr>
          <w:rFonts w:hint="default" w:eastAsia="仿宋_GB2312"/>
          <w:b w:val="0"/>
          <w:kern w:val="2"/>
          <w:sz w:val="32"/>
          <w:szCs w:val="32"/>
        </w:rPr>
        <w:t>基层监管人员的培训指导等有关工作，每年承担不少于20个检查任务专业指导（含20份检查报告的专业把关），</w:t>
      </w:r>
      <w:r>
        <w:rPr>
          <w:rFonts w:hint="eastAsia" w:eastAsia="仿宋_GB2312"/>
          <w:sz w:val="32"/>
          <w:szCs w:val="32"/>
        </w:rPr>
        <w:t>每年轮值参与全市重点检查任务的专项</w:t>
      </w:r>
      <w:r>
        <w:rPr>
          <w:rFonts w:hint="eastAsia" w:eastAsia="仿宋_GB2312"/>
          <w:sz w:val="32"/>
          <w:szCs w:val="32"/>
          <w:lang w:eastAsia="zh-CN"/>
        </w:rPr>
        <w:t>检查分析</w:t>
      </w:r>
      <w:r>
        <w:rPr>
          <w:rFonts w:hint="eastAsia" w:eastAsia="仿宋_GB2312"/>
          <w:sz w:val="32"/>
          <w:szCs w:val="32"/>
        </w:rPr>
        <w:t>报告的专业把关不少于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次，</w:t>
      </w:r>
      <w:r>
        <w:rPr>
          <w:rFonts w:hint="default" w:eastAsia="仿宋_GB2312"/>
          <w:b w:val="0"/>
          <w:kern w:val="2"/>
          <w:sz w:val="32"/>
          <w:szCs w:val="32"/>
        </w:rPr>
        <w:t>每年承担检查员的培训授课不少于1次，主要承担每年检查员考评、教材编制、人员年度考评等专业管理工作。</w:t>
      </w:r>
    </w:p>
    <w:p>
      <w:pPr>
        <w:numPr>
          <w:ilvl w:val="0"/>
          <w:numId w:val="0"/>
        </w:num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二、每年按时参加完成继续教育培训和考核，不断提高检查专业能力。</w:t>
      </w:r>
    </w:p>
    <w:p>
      <w:pPr>
        <w:pStyle w:val="6"/>
        <w:spacing w:line="276" w:lineRule="auto"/>
        <w:ind w:firstLine="64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三、上岗形象</w:t>
      </w: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 w:bidi="ar-SA"/>
        </w:rPr>
        <w:t>：</w:t>
      </w:r>
      <w:r>
        <w:rPr>
          <w:rFonts w:hint="eastAsia" w:eastAsia="仿宋_GB2312"/>
          <w:sz w:val="32"/>
          <w:szCs w:val="32"/>
        </w:rPr>
        <w:t>检查时佩戴《深圳市市场监督管理局食品安全检查员证》及有关身份或工作证明</w:t>
      </w:r>
      <w:r>
        <w:rPr>
          <w:rFonts w:hint="eastAsia" w:eastAsia="仿宋_GB2312"/>
          <w:sz w:val="32"/>
          <w:szCs w:val="32"/>
          <w:lang w:eastAsia="zh-CN"/>
        </w:rPr>
        <w:t>、穿检查员工作马甲（执法人员着制服和执法证），</w:t>
      </w:r>
      <w:r>
        <w:rPr>
          <w:rFonts w:hint="eastAsia" w:eastAsia="仿宋_GB2312"/>
          <w:sz w:val="32"/>
          <w:szCs w:val="32"/>
        </w:rPr>
        <w:t>仪容仪表符合职业检查员岗位要求</w:t>
      </w:r>
      <w:r>
        <w:rPr>
          <w:rFonts w:hint="eastAsia" w:eastAsia="仿宋_GB2312"/>
          <w:sz w:val="32"/>
          <w:szCs w:val="32"/>
          <w:lang w:eastAsia="zh-CN"/>
        </w:rPr>
        <w:t>，</w:t>
      </w:r>
      <w:r>
        <w:rPr>
          <w:rFonts w:hint="eastAsia" w:eastAsia="仿宋_GB2312"/>
          <w:sz w:val="32"/>
          <w:szCs w:val="32"/>
        </w:rPr>
        <w:t>遵守食品加工过程</w:t>
      </w:r>
      <w:r>
        <w:rPr>
          <w:rFonts w:hint="eastAsia" w:eastAsia="仿宋_GB2312"/>
          <w:sz w:val="32"/>
          <w:szCs w:val="32"/>
          <w:lang w:eastAsia="zh-CN"/>
        </w:rPr>
        <w:t>从业人员卫生</w:t>
      </w:r>
      <w:r>
        <w:rPr>
          <w:rFonts w:hint="eastAsia" w:eastAsia="仿宋_GB2312"/>
          <w:sz w:val="32"/>
          <w:szCs w:val="32"/>
        </w:rPr>
        <w:t>要求</w:t>
      </w:r>
      <w:r>
        <w:rPr>
          <w:rFonts w:hint="eastAsia" w:eastAsia="仿宋_GB2312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四、检查标准：</w:t>
      </w:r>
      <w:r>
        <w:rPr>
          <w:rFonts w:eastAsia="仿宋_GB2312"/>
          <w:sz w:val="32"/>
          <w:szCs w:val="32"/>
        </w:rPr>
        <w:t>严格执行</w:t>
      </w:r>
      <w:r>
        <w:rPr>
          <w:rFonts w:hint="eastAsia" w:eastAsia="仿宋_GB2312"/>
          <w:sz w:val="32"/>
          <w:szCs w:val="32"/>
        </w:rPr>
        <w:t>监管部门</w:t>
      </w:r>
      <w:r>
        <w:rPr>
          <w:rFonts w:hint="eastAsia" w:eastAsia="仿宋_GB2312"/>
          <w:sz w:val="32"/>
          <w:szCs w:val="32"/>
          <w:lang w:eastAsia="zh-CN"/>
        </w:rPr>
        <w:t>指定的</w:t>
      </w:r>
      <w:r>
        <w:rPr>
          <w:rFonts w:hint="eastAsia" w:eastAsia="仿宋_GB2312"/>
          <w:sz w:val="32"/>
          <w:szCs w:val="32"/>
        </w:rPr>
        <w:t>检查</w:t>
      </w:r>
      <w:r>
        <w:rPr>
          <w:rFonts w:hint="eastAsia" w:eastAsia="仿宋_GB2312"/>
          <w:sz w:val="32"/>
          <w:szCs w:val="32"/>
          <w:lang w:eastAsia="zh-CN"/>
        </w:rPr>
        <w:t>任务和检查标准，</w:t>
      </w:r>
      <w:r>
        <w:rPr>
          <w:rFonts w:eastAsia="仿宋_GB2312"/>
          <w:sz w:val="32"/>
          <w:szCs w:val="32"/>
        </w:rPr>
        <w:t>如实记录检查情况，客观公正综合评价，及时提交检查报告和相关资料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eastAsia="仿宋_GB2312"/>
          <w:sz w:val="32"/>
          <w:szCs w:val="32"/>
        </w:rPr>
        <w:t>确保</w:t>
      </w:r>
      <w:r>
        <w:rPr>
          <w:rFonts w:hint="eastAsia" w:ascii="仿宋_GB2312" w:eastAsia="仿宋_GB2312"/>
          <w:sz w:val="32"/>
          <w:szCs w:val="32"/>
          <w:lang w:eastAsia="zh-CN"/>
        </w:rPr>
        <w:t>食品经营食品安全检查要求</w:t>
      </w:r>
      <w:r>
        <w:rPr>
          <w:rFonts w:hint="eastAsia" w:ascii="仿宋_GB2312" w:eastAsia="仿宋_GB2312"/>
          <w:sz w:val="32"/>
          <w:szCs w:val="32"/>
        </w:rPr>
        <w:t>与监管部门</w:t>
      </w:r>
      <w:r>
        <w:rPr>
          <w:rFonts w:hint="eastAsia" w:ascii="仿宋_GB2312" w:eastAsia="仿宋_GB2312"/>
          <w:sz w:val="32"/>
          <w:szCs w:val="32"/>
          <w:lang w:eastAsia="zh-CN"/>
        </w:rPr>
        <w:t>最新</w:t>
      </w:r>
      <w:r>
        <w:rPr>
          <w:rFonts w:hint="eastAsia" w:ascii="仿宋_GB2312" w:eastAsia="仿宋_GB2312"/>
          <w:sz w:val="32"/>
          <w:szCs w:val="32"/>
        </w:rPr>
        <w:t>要求保持一致。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五、遵守检查员每年动态管理的要求</w:t>
      </w:r>
      <w:r>
        <w:rPr>
          <w:rStyle w:val="7"/>
          <w:rFonts w:hint="eastAsia" w:ascii="方正黑体_GBK" w:hAnsi="方正黑体_GBK" w:eastAsia="方正黑体_GBK" w:cs="方正黑体_GBK"/>
          <w:kern w:val="0"/>
          <w:sz w:val="32"/>
          <w:szCs w:val="32"/>
        </w:rPr>
        <w:t>：</w:t>
      </w:r>
      <w:r>
        <w:rPr>
          <w:rFonts w:eastAsia="仿宋_GB2312"/>
          <w:sz w:val="32"/>
          <w:szCs w:val="32"/>
        </w:rPr>
        <w:t>因岗位调整</w:t>
      </w:r>
      <w:r>
        <w:rPr>
          <w:rFonts w:hint="eastAsia"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>个人原因不</w:t>
      </w:r>
      <w:r>
        <w:rPr>
          <w:rFonts w:hint="eastAsia" w:eastAsia="仿宋_GB2312"/>
          <w:sz w:val="32"/>
          <w:szCs w:val="32"/>
        </w:rPr>
        <w:t>能继续</w:t>
      </w:r>
      <w:r>
        <w:rPr>
          <w:rFonts w:eastAsia="仿宋_GB2312"/>
          <w:sz w:val="32"/>
          <w:szCs w:val="32"/>
        </w:rPr>
        <w:t>参加检查工作的，</w:t>
      </w:r>
      <w:r>
        <w:rPr>
          <w:rFonts w:hint="eastAsia" w:eastAsia="仿宋_GB2312"/>
          <w:sz w:val="32"/>
          <w:szCs w:val="32"/>
        </w:rPr>
        <w:t>应</w:t>
      </w:r>
      <w:r>
        <w:rPr>
          <w:rFonts w:eastAsia="仿宋_GB2312"/>
          <w:sz w:val="32"/>
          <w:szCs w:val="32"/>
        </w:rPr>
        <w:t>及时主动</w:t>
      </w:r>
      <w:r>
        <w:rPr>
          <w:rFonts w:hint="eastAsia" w:eastAsia="仿宋_GB2312"/>
          <w:sz w:val="32"/>
          <w:szCs w:val="32"/>
          <w:lang w:eastAsia="zh-CN"/>
        </w:rPr>
        <w:t>告知检查员管理部门</w:t>
      </w:r>
      <w:r>
        <w:rPr>
          <w:rFonts w:hint="eastAsia" w:eastAsia="仿宋_GB2312"/>
          <w:sz w:val="32"/>
          <w:szCs w:val="32"/>
        </w:rPr>
        <w:t>；</w:t>
      </w:r>
      <w:r>
        <w:rPr>
          <w:rFonts w:eastAsia="仿宋_GB2312"/>
          <w:sz w:val="32"/>
          <w:szCs w:val="32"/>
        </w:rPr>
        <w:t>检查员</w:t>
      </w:r>
      <w:r>
        <w:rPr>
          <w:rFonts w:hint="eastAsia" w:eastAsia="仿宋_GB2312"/>
          <w:sz w:val="32"/>
          <w:szCs w:val="32"/>
        </w:rPr>
        <w:t>存在</w:t>
      </w:r>
      <w:r>
        <w:rPr>
          <w:rFonts w:eastAsia="仿宋_GB2312"/>
          <w:sz w:val="32"/>
          <w:szCs w:val="32"/>
        </w:rPr>
        <w:t>年度考核不合格、未履行检查职责、不当履职或者存在违法违纪</w:t>
      </w:r>
      <w:r>
        <w:rPr>
          <w:rFonts w:hint="eastAsia" w:eastAsia="仿宋_GB2312"/>
          <w:sz w:val="32"/>
          <w:szCs w:val="32"/>
        </w:rPr>
        <w:t>等</w:t>
      </w:r>
      <w:r>
        <w:rPr>
          <w:rFonts w:eastAsia="仿宋_GB2312"/>
          <w:sz w:val="32"/>
          <w:szCs w:val="32"/>
        </w:rPr>
        <w:t>情形的，</w:t>
      </w:r>
      <w:r>
        <w:rPr>
          <w:rFonts w:hint="eastAsia" w:eastAsia="仿宋_GB2312"/>
          <w:sz w:val="32"/>
          <w:szCs w:val="32"/>
        </w:rPr>
        <w:t>市市场监管局将</w:t>
      </w:r>
      <w:r>
        <w:rPr>
          <w:rFonts w:eastAsia="仿宋_GB2312"/>
          <w:sz w:val="32"/>
          <w:szCs w:val="32"/>
        </w:rPr>
        <w:t>视情况暂停或取消</w:t>
      </w:r>
      <w:r>
        <w:rPr>
          <w:rFonts w:hint="eastAsia" w:eastAsia="仿宋_GB2312"/>
          <w:sz w:val="32"/>
          <w:szCs w:val="32"/>
        </w:rPr>
        <w:t>其</w:t>
      </w:r>
      <w:r>
        <w:rPr>
          <w:rFonts w:eastAsia="仿宋_GB2312"/>
          <w:sz w:val="32"/>
          <w:szCs w:val="32"/>
        </w:rPr>
        <w:t>检查员资格</w:t>
      </w:r>
      <w:r>
        <w:rPr>
          <w:rFonts w:hint="eastAsia" w:eastAsia="仿宋_GB2312"/>
          <w:sz w:val="32"/>
          <w:szCs w:val="32"/>
        </w:rPr>
        <w:t>，按照有关要求处理违法行为。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六、严格遵守有关廉政纪律和工作保密规定：</w:t>
      </w:r>
      <w:r>
        <w:rPr>
          <w:rFonts w:hint="eastAsia" w:eastAsia="仿宋_GB2312"/>
          <w:sz w:val="32"/>
          <w:szCs w:val="32"/>
        </w:rPr>
        <w:t>检查中严格</w:t>
      </w:r>
      <w:r>
        <w:rPr>
          <w:rFonts w:eastAsia="仿宋_GB2312"/>
          <w:sz w:val="32"/>
          <w:szCs w:val="32"/>
        </w:rPr>
        <w:t>防范利益冲突</w:t>
      </w:r>
      <w:r>
        <w:rPr>
          <w:rFonts w:hint="eastAsia" w:eastAsia="仿宋_GB2312"/>
          <w:sz w:val="32"/>
          <w:szCs w:val="32"/>
          <w:lang w:eastAsia="zh-CN"/>
        </w:rPr>
        <w:t>，如有需要“回避”情形应提前告知。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kern w:val="0"/>
          <w:sz w:val="32"/>
          <w:szCs w:val="32"/>
          <w:lang w:val="en-US" w:eastAsia="zh-CN" w:bidi="ar-SA"/>
        </w:rPr>
        <w:t>七、做到“三不得”、“六不讲”：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“三不得”</w:t>
      </w:r>
      <w:r>
        <w:rPr>
          <w:rFonts w:hint="eastAsia" w:eastAsia="仿宋_GB2312"/>
          <w:b/>
          <w:bCs/>
          <w:kern w:val="0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  <w:lang w:eastAsia="zh-CN"/>
        </w:rPr>
        <w:t>从事非监管部门指定的食品经营检查任务，不得利用食品经营检查员的身份证明进行检查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,</w:t>
      </w:r>
      <w:r>
        <w:rPr>
          <w:rFonts w:hint="eastAsia" w:ascii="仿宋_GB2312" w:eastAsia="仿宋_GB2312"/>
          <w:sz w:val="32"/>
          <w:szCs w:val="32"/>
          <w:lang w:eastAsia="zh-CN"/>
        </w:rPr>
        <w:t>不得夸大宣传个人专业水平，不得违法违规从事市场推销等工作。</w:t>
      </w:r>
    </w:p>
    <w:p>
      <w:pPr>
        <w:spacing w:line="600" w:lineRule="exact"/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华文楷体" w:hAnsi="华文楷体" w:eastAsia="华文楷体" w:cs="华文楷体"/>
          <w:b/>
          <w:bCs/>
          <w:kern w:val="2"/>
          <w:sz w:val="32"/>
          <w:szCs w:val="32"/>
          <w:lang w:val="en-US" w:eastAsia="zh-CN" w:bidi="ar-SA"/>
        </w:rPr>
        <w:t>“六不讲”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sz w:val="32"/>
          <w:szCs w:val="32"/>
        </w:rPr>
        <w:t>本人不懂或不熟悉的内容不讲；可能不准确的信息传言、没有经过权威部门发布的不可靠信息不传播；涉及违法广告不讲；不利于同行及社会团结和谐的内容不讲；不文明、不道德</w:t>
      </w:r>
      <w:r>
        <w:rPr>
          <w:rFonts w:hint="eastAsia" w:ascii="仿宋_GB2312" w:eastAsia="仿宋_GB2312"/>
          <w:sz w:val="32"/>
          <w:szCs w:val="32"/>
          <w:lang w:eastAsia="zh-CN"/>
        </w:rPr>
        <w:t>、威胁利诱</w:t>
      </w:r>
      <w:r>
        <w:rPr>
          <w:rFonts w:hint="eastAsia" w:ascii="仿宋_GB2312" w:eastAsia="仿宋_GB2312"/>
          <w:sz w:val="32"/>
          <w:szCs w:val="32"/>
        </w:rPr>
        <w:t>的语言不讲。</w:t>
      </w:r>
    </w:p>
    <w:tbl>
      <w:tblPr>
        <w:tblStyle w:val="4"/>
        <w:tblW w:w="8775" w:type="dxa"/>
        <w:tblInd w:w="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8775" w:type="dxa"/>
            <w:noWrap w:val="0"/>
            <w:vAlign w:val="top"/>
          </w:tcPr>
          <w:p>
            <w:pPr>
              <w:spacing w:line="560" w:lineRule="exact"/>
              <w:ind w:left="75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2"/>
                <w:sz w:val="32"/>
                <w:szCs w:val="32"/>
                <w:lang w:val="en-US" w:eastAsia="zh-CN" w:bidi="ar-SA"/>
              </w:rPr>
              <w:t>本人承诺：以上要求和纪律都能自愿遵守，如有违反情形将服从市局每年检查员动态管理要求的决定。</w:t>
            </w:r>
          </w:p>
        </w:tc>
      </w:tr>
    </w:tbl>
    <w:p>
      <w:pPr>
        <w:spacing w:line="560" w:lineRule="exact"/>
        <w:ind w:firstLine="0" w:firstLineChars="0"/>
        <w:rPr>
          <w:rFonts w:hint="eastAsia" w:eastAsia="仿宋_GB2312"/>
          <w:b/>
          <w:sz w:val="32"/>
          <w:szCs w:val="32"/>
        </w:rPr>
      </w:pPr>
    </w:p>
    <w:p>
      <w:pPr>
        <w:ind w:firstLine="321" w:firstLineChars="1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b/>
          <w:sz w:val="32"/>
          <w:szCs w:val="32"/>
        </w:rPr>
        <w:t>本人签字</w:t>
      </w:r>
      <w:r>
        <w:rPr>
          <w:rFonts w:hint="eastAsia" w:eastAsia="仿宋_GB2312"/>
          <w:sz w:val="32"/>
          <w:szCs w:val="32"/>
        </w:rPr>
        <w:t xml:space="preserve">：                          </w:t>
      </w:r>
    </w:p>
    <w:p>
      <w:pPr>
        <w:ind w:firstLine="4480" w:firstLineChars="14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年   月  日</w:t>
      </w:r>
    </w:p>
    <w:p>
      <w:pPr>
        <w:pStyle w:val="3"/>
        <w:widowControl/>
        <w:wordWrap w:val="0"/>
        <w:spacing w:beforeAutospacing="0" w:afterAutospacing="0" w:line="560" w:lineRule="exact"/>
        <w:ind w:right="420" w:rightChars="200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"/>
        </w:rPr>
      </w:pPr>
    </w:p>
    <w:p/>
    <w:p/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>
      <w:pPr>
        <w:snapToGrid w:val="0"/>
        <w:spacing w:line="240" w:lineRule="atLeast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D854D"/>
    <w:rsid w:val="2FF1024E"/>
    <w:rsid w:val="3EAB0813"/>
    <w:rsid w:val="EEBAD6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panse</cp:lastModifiedBy>
  <dcterms:modified xsi:type="dcterms:W3CDTF">2023-11-08T16:05:57Z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