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242</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甘某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甘某不服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集团）股份有限公司涉嫌虚假宣传作出的处理决定，并提交了《行政复议申请书》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甘某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932473"/>
    <w:rsid w:val="19B321C3"/>
    <w:rsid w:val="1B25678A"/>
    <w:rsid w:val="287C31C1"/>
    <w:rsid w:val="29F559ED"/>
    <w:rsid w:val="2A9543B6"/>
    <w:rsid w:val="2AEA1578"/>
    <w:rsid w:val="2B375263"/>
    <w:rsid w:val="2D2B535A"/>
    <w:rsid w:val="30A15990"/>
    <w:rsid w:val="35BB62D8"/>
    <w:rsid w:val="36696CC3"/>
    <w:rsid w:val="37CF0F91"/>
    <w:rsid w:val="3A775690"/>
    <w:rsid w:val="3C915448"/>
    <w:rsid w:val="3F750BEC"/>
    <w:rsid w:val="40AE6D1D"/>
    <w:rsid w:val="40DD059F"/>
    <w:rsid w:val="42822002"/>
    <w:rsid w:val="4372127B"/>
    <w:rsid w:val="461D19F4"/>
    <w:rsid w:val="48365A6F"/>
    <w:rsid w:val="4DE97870"/>
    <w:rsid w:val="500E41FD"/>
    <w:rsid w:val="54E56C27"/>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7FF3FD1"/>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49</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2022-07-18T08:41:13Z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