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310</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朱某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宝安</w:t>
      </w:r>
      <w:r>
        <w:rPr>
          <w:rFonts w:hint="eastAsia" w:ascii="仿宋_GB2312" w:eastAsia="仿宋_GB2312"/>
          <w:color w:val="auto"/>
          <w:sz w:val="32"/>
          <w:szCs w:val="32"/>
        </w:rPr>
        <w:t>监管局</w:t>
      </w:r>
    </w:p>
    <w:p>
      <w:pPr>
        <w:spacing w:line="360" w:lineRule="auto"/>
        <w:ind w:firstLine="720" w:firstLineChars="225"/>
        <w:rPr>
          <w:rFonts w:hint="default" w:ascii="仿宋_GB2312" w:eastAsia="仿宋_GB2312"/>
          <w:color w:val="auto"/>
          <w:sz w:val="32"/>
          <w:szCs w:val="32"/>
          <w:lang w:val="en-US"/>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宝安区</w:t>
      </w:r>
      <w:r>
        <w:rPr>
          <w:rFonts w:hint="eastAsia" w:ascii="仿宋_GB2312" w:eastAsia="仿宋_GB2312"/>
          <w:color w:val="auto"/>
          <w:sz w:val="32"/>
          <w:szCs w:val="32"/>
          <w:lang w:val="en-US" w:eastAsia="zh-CN"/>
        </w:rPr>
        <w:t>42区翻身路75号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林顺辉</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朱某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w:t>
      </w:r>
      <w:r>
        <w:rPr>
          <w:rFonts w:hint="eastAsia" w:ascii="仿宋_GB2312" w:hAnsi="华文中宋" w:eastAsia="仿宋_GB2312"/>
          <w:color w:val="auto"/>
          <w:sz w:val="32"/>
          <w:szCs w:val="32"/>
          <w:lang w:eastAsia="zh-CN"/>
        </w:rPr>
        <w:t>举报</w:t>
      </w:r>
      <w:r>
        <w:rPr>
          <w:rFonts w:hint="eastAsia" w:ascii="仿宋_GB2312" w:hAnsi="华文中宋" w:eastAsia="仿宋_GB2312"/>
          <w:color w:val="auto"/>
          <w:sz w:val="32"/>
          <w:szCs w:val="32"/>
        </w:rPr>
        <w:t>线索作出</w:t>
      </w:r>
      <w:r>
        <w:rPr>
          <w:rFonts w:hint="eastAsia" w:ascii="仿宋_GB2312" w:hAnsi="华文中宋" w:eastAsia="仿宋_GB2312"/>
          <w:color w:val="auto"/>
          <w:sz w:val="32"/>
          <w:szCs w:val="32"/>
          <w:lang w:val="en-US" w:eastAsia="zh-CN"/>
        </w:rPr>
        <w:t>的处理结果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310</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3</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16</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spacing w:line="360" w:lineRule="auto"/>
        <w:ind w:firstLine="640" w:firstLineChars="200"/>
        <w:rPr>
          <w:rFonts w:hint="eastAsia" w:ascii="仿宋_GB2312" w:hAnsi="华文中宋" w:eastAsia="仿宋_GB2312"/>
          <w:color w:val="auto"/>
          <w:sz w:val="32"/>
          <w:szCs w:val="32"/>
          <w:lang w:eastAsia="zh-CN"/>
        </w:rPr>
      </w:pPr>
      <w:r>
        <w:rPr>
          <w:rFonts w:hint="eastAsia" w:ascii="仿宋_GB2312" w:hAnsi="华文中宋" w:eastAsia="仿宋_GB2312"/>
          <w:color w:val="auto"/>
          <w:sz w:val="32"/>
          <w:szCs w:val="32"/>
          <w:lang w:eastAsia="zh-CN"/>
        </w:rPr>
        <w:t>责令被申请人依法纠正对其举报线索作出的处理结果。</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11月14日</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向被申请人举报</w:t>
      </w:r>
      <w:r>
        <w:rPr>
          <w:rFonts w:hint="eastAsia" w:ascii="仿宋_GB2312" w:eastAsia="仿宋_GB2312"/>
          <w:color w:val="auto"/>
          <w:sz w:val="32"/>
          <w:szCs w:val="32"/>
          <w:lang w:val="en-US" w:eastAsia="zh-CN"/>
        </w:rPr>
        <w:t>深圳市XXX有限公司（以下简称被投诉人）</w:t>
      </w:r>
      <w:r>
        <w:rPr>
          <w:rFonts w:hint="eastAsia" w:ascii="仿宋_GB2312" w:hAnsi="华文中宋" w:eastAsia="仿宋_GB2312"/>
          <w:color w:val="auto"/>
          <w:sz w:val="32"/>
          <w:szCs w:val="32"/>
        </w:rPr>
        <w:t>销售</w:t>
      </w:r>
      <w:r>
        <w:rPr>
          <w:rFonts w:hint="eastAsia" w:ascii="仿宋_GB2312" w:hAnsi="华文中宋" w:eastAsia="仿宋_GB2312"/>
          <w:color w:val="auto"/>
          <w:sz w:val="32"/>
          <w:szCs w:val="32"/>
          <w:lang w:eastAsia="zh-CN"/>
        </w:rPr>
        <w:t>不符合相关标准的产品</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val="en-US" w:eastAsia="zh-CN"/>
        </w:rPr>
        <w:t>2019年11月27日，被申请人对申请人的举报线索作出相关的处理结果，并通过短信告知申请人。</w:t>
      </w:r>
      <w:r>
        <w:rPr>
          <w:rFonts w:hint="eastAsia" w:ascii="仿宋_GB2312" w:hAnsi="华文中宋" w:eastAsia="仿宋_GB2312"/>
          <w:color w:val="auto"/>
          <w:sz w:val="32"/>
          <w:szCs w:val="32"/>
        </w:rPr>
        <w:t>申请人不服该处理结果，提起复议。</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14日，申请人提起举报（工单号：201911149971），称其于2019年11月9日通过天猫网平台购买到被举报人销售的一款儿童玩具相机（以下简称涉案产品），涉案产品无任何生产厂家、厂址、型号及中文标签，认为涉案产品为三无产品，且涉案产品未经国家强制认证，要求查处并退赔费用。</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25日，被申请人前往被举报人处进行现场检查，现场未发现有涉案产品在售，经询问，被举报人有一台样机，但未标注厂名厂址，被举报人称涉案产品以出口为基础，销售国内以贴标方式，可能因工作人员疏漏未贴，现场无法出示检测报告，表示稍后可提供，现场查询被举报人天猫平台网店上涉案产品信息，其中涉案产品详细信息显示涉案产品属于数码相机，并非玩具，无需取得强制认证，2019年11月25日，被申请人依法作出不予立案决定，针对被举报人销售的涉案产品无任何生产厂家、厂址、型号及中文标签，被申请人依法作出责令改正通知书，要求被举报人予以整改，另申请人的要求退款赔偿的投诉事项，被举报人标识不愿调解，被申请人遂于2019年11月27日通过短信方式告知申请人终止调解情况，及涉案产品属于数码相机，未强制要求进行国家强制性产品认证，且已责令被举报人就未标注厂名厂址等行为进行改正等处理结果，被申请人已履行法定职责。</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经查，涉案产品虽标注“玩具相机”，但正确名称“儿童相机”，调查过程中，被举报人出具了符合XXX的检测报告，故涉案产品的属性不认定为玩具，无需取得强制认证，遂根据《市场监督管理行政处罚程序暂行规定》第十七条规定“市场监督管理部门对依据监督检查职权或者通过投诉、举报、其他部门移送、上级交办等途径发现</w:t>
      </w:r>
      <w:bookmarkStart w:id="0" w:name="_GoBack"/>
      <w:bookmarkEnd w:id="0"/>
      <w:r>
        <w:rPr>
          <w:rFonts w:hint="eastAsia" w:ascii="仿宋_GB2312" w:hAnsi="华文中宋" w:eastAsia="仿宋_GB2312"/>
          <w:color w:val="auto"/>
          <w:sz w:val="32"/>
          <w:szCs w:val="32"/>
          <w:lang w:val="en-US" w:eastAsia="zh-CN"/>
        </w:rPr>
        <w:t>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被申请人依法对申请人举报的涉案产品未经强制认证事项，作出不予立案决定，符合上述法律法规。</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针对申请人举报的涉案产品属于三无产品的举报，被申请人经查，被举报人销售的涉案产品并未标注厂名厂址，违反了《中华人民共和国产品质量法》第二十七条第一款第（二）项的规定“产品或者其包装上的标识必须真实，并符合下列要求：（二）有中文标明的产品名称、生产厂厂名和厂址；”，申请人举报的该违法事实成立，遂根据《产品质量法》第五十四条规定“产品标识不符合本法第二十七条第（四）项、第（五）项规定，情节严重的，责令停止生产、销售，并处违法生产、销售产品货值金额百分之三十以下的罚款；有违法所得的，并处没收违法所得。”被申请人依法向被举报人出具《责令改正通知书》，要求被举报人在2019年12月20日前予以改正，现被举报人仍在整改中。</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黑体" w:hAnsi="华文中宋" w:eastAsia="黑体"/>
          <w:color w:val="000000"/>
          <w:sz w:val="32"/>
          <w:szCs w:val="32"/>
          <w:lang w:val="en-US" w:eastAsia="zh-CN"/>
        </w:rPr>
      </w:pPr>
      <w:r>
        <w:rPr>
          <w:rFonts w:hint="eastAsia" w:ascii="黑体" w:hAnsi="华文中宋" w:eastAsia="黑体"/>
          <w:color w:val="000000"/>
          <w:sz w:val="32"/>
          <w:szCs w:val="32"/>
          <w:lang w:val="en-US" w:eastAsia="zh-CN"/>
        </w:rPr>
        <w:t>本局查明</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14日，申请人提起举报（工单号：201911149971），称其于2019年11月9日通过天猫网平台购买到被举报人销售的一款儿童玩具相机，涉案产品无任何生产厂家、厂址、型号及中文标签，其认为涉案产品为三无产品，且涉案产品未经国家强制认证，要求被申请人查处并退赔费用。</w:t>
      </w:r>
    </w:p>
    <w:p>
      <w:pPr>
        <w:snapToGrid w:val="0"/>
        <w:spacing w:line="360" w:lineRule="auto"/>
        <w:ind w:firstLine="640"/>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11月25日，被申请人前往被举报人处进行现场检查，现场未发现有涉案产品在售，经询问，被举报人有一台样机，但未标注厂名厂址。现场被申请人查询被举报人天猫平台网店上涉案产品信息，其中涉案产品详细信息显示涉案产品属于数码相机，并非玩具，无需取得强制认证。被举报人亦现场表达不同意调解。后被举报人向被申请人出具了涉案产品的检测报告。</w:t>
      </w:r>
    </w:p>
    <w:p>
      <w:pPr>
        <w:snapToGrid w:val="0"/>
        <w:spacing w:line="360" w:lineRule="auto"/>
        <w:ind w:firstLine="640"/>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2019年11月27日，被申请人通过短信告知申请人相关的处理结果。</w:t>
      </w:r>
    </w:p>
    <w:p>
      <w:pPr>
        <w:snapToGrid w:val="0"/>
        <w:spacing w:line="360" w:lineRule="auto"/>
        <w:ind w:firstLine="640"/>
        <w:rPr>
          <w:rFonts w:hint="default"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2019年11月27日，被申请人向被举报人发出《责令改正通知书》，责令被举报人补充厂名、厂址、执行标准等情况，并于2019年12月20日改正完毕。被举报人亦于限期内完成改正。</w:t>
      </w:r>
    </w:p>
    <w:p>
      <w:pPr>
        <w:spacing w:line="360" w:lineRule="auto"/>
        <w:ind w:left="638" w:leftChars="304" w:firstLine="0" w:firstLineChars="0"/>
        <w:rPr>
          <w:rFonts w:hint="eastAsia" w:ascii="黑体" w:hAnsi="华文中宋" w:eastAsia="黑体"/>
          <w:color w:val="000000"/>
          <w:sz w:val="32"/>
          <w:szCs w:val="32"/>
        </w:rPr>
      </w:pPr>
      <w:r>
        <w:rPr>
          <w:rFonts w:hint="eastAsia" w:ascii="黑体" w:hAnsi="华文中宋" w:eastAsia="黑体"/>
          <w:color w:val="000000"/>
          <w:sz w:val="32"/>
          <w:szCs w:val="32"/>
        </w:rPr>
        <w:t>本局认为</w:t>
      </w:r>
    </w:p>
    <w:p>
      <w:pPr>
        <w:spacing w:line="360" w:lineRule="auto"/>
        <w:ind w:firstLine="640" w:firstLineChars="200"/>
        <w:rPr>
          <w:rFonts w:hint="eastAsia" w:ascii="仿宋_GB2312" w:hAnsi="华文中宋" w:eastAsia="仿宋_GB2312"/>
          <w:color w:val="auto"/>
          <w:sz w:val="32"/>
          <w:szCs w:val="32"/>
          <w:lang w:eastAsia="zh-CN"/>
        </w:rPr>
      </w:pPr>
      <w:r>
        <w:rPr>
          <w:rFonts w:hint="eastAsia" w:ascii="仿宋_GB2312" w:hAnsi="华文中宋" w:eastAsia="仿宋_GB2312" w:cs="Times New Roman"/>
          <w:color w:val="auto"/>
          <w:sz w:val="32"/>
          <w:szCs w:val="32"/>
          <w:lang w:val="en-US" w:eastAsia="zh-CN"/>
        </w:rPr>
        <w:t>根据《工商行政管理部门处理消费者投诉办法》</w:t>
      </w:r>
      <w:r>
        <w:rPr>
          <w:rFonts w:hint="eastAsia" w:ascii="仿宋_GB2312" w:hAnsi="华文中宋" w:eastAsia="仿宋_GB2312"/>
          <w:color w:val="auto"/>
          <w:sz w:val="32"/>
          <w:szCs w:val="32"/>
        </w:rPr>
        <w:t>第二十四条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有下列情形之一的，终止调解：</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（二） 当事人拒绝调解或者无正当理由不参加调解的；</w:t>
      </w:r>
      <w:r>
        <w:rPr>
          <w:rFonts w:hint="eastAsia" w:ascii="仿宋_GB2312" w:hAnsi="华文中宋" w:eastAsia="仿宋_GB2312"/>
          <w:color w:val="auto"/>
          <w:sz w:val="32"/>
          <w:szCs w:val="32"/>
          <w:lang w:eastAsia="zh-CN"/>
        </w:rPr>
        <w:t>……”被申请人已经组织调解，但是被举报人拒绝调解，因此被申请人终止调解符合相关的规定。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w:t>
      </w:r>
      <w:r>
        <w:rPr>
          <w:rFonts w:hint="eastAsia" w:ascii="仿宋_GB2312" w:hAnsi="华文中宋" w:eastAsia="仿宋_GB2312"/>
          <w:color w:val="auto"/>
          <w:sz w:val="32"/>
          <w:szCs w:val="32"/>
        </w:rPr>
        <w:t>中华人民共和国产品质量法</w:t>
      </w:r>
      <w:r>
        <w:rPr>
          <w:rFonts w:hint="eastAsia" w:ascii="仿宋_GB2312" w:hAnsi="华文中宋" w:eastAsia="仿宋_GB2312" w:cs="Times New Roman"/>
          <w:color w:val="auto"/>
          <w:sz w:val="32"/>
          <w:szCs w:val="32"/>
          <w:lang w:val="en-US" w:eastAsia="zh-CN"/>
        </w:rPr>
        <w:t>》</w:t>
      </w:r>
      <w:r>
        <w:rPr>
          <w:rFonts w:hint="eastAsia" w:ascii="仿宋_GB2312" w:hAnsi="华文中宋" w:eastAsia="仿宋_GB2312"/>
          <w:color w:val="auto"/>
          <w:sz w:val="32"/>
          <w:szCs w:val="32"/>
        </w:rPr>
        <w:t>第二十七条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产品或者其包装上的标识必须真实，并符合下列要求：</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(二)有中文标明的产品名称、生产厂厂名和厂址；</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第五十四条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产品标识不符合本法第二十七条规定的，责令改正；</w:t>
      </w:r>
      <w:r>
        <w:rPr>
          <w:rFonts w:hint="eastAsia" w:ascii="仿宋_GB2312" w:hAnsi="华文中宋" w:eastAsia="仿宋_GB2312"/>
          <w:color w:val="auto"/>
          <w:sz w:val="32"/>
          <w:szCs w:val="32"/>
          <w:lang w:eastAsia="zh-CN"/>
        </w:rPr>
        <w:t>……”</w:t>
      </w:r>
      <w:r>
        <w:rPr>
          <w:rFonts w:hint="eastAsia" w:ascii="仿宋_GB2312" w:hAnsi="华文中宋" w:eastAsia="仿宋_GB2312" w:cs="Times New Roman"/>
          <w:color w:val="auto"/>
          <w:sz w:val="32"/>
          <w:szCs w:val="32"/>
          <w:lang w:val="en-US" w:eastAsia="zh-CN"/>
        </w:rPr>
        <w:t>本案中，根据被举报人提供的涉案产品的检测报告以及《强制性产品认证目录》，可知涉案产品为数码相机，并不需要强制性认证。因此被申请人责令被举报人改正，并对申请人的举报线索作出不予立案的决定，符合相关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根据《中华人民共和国行政复议法》第二十八条第一款第（一）项的规定，本局作出复议决定如下：</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维持被申请人深圳市市场监督管理局宝安监管局作出的处理结果。</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w:t>
      </w:r>
      <w:r>
        <w:rPr>
          <w:rFonts w:hint="eastAsia" w:ascii="仿宋_GB2312" w:hAnsi="华文中宋" w:eastAsia="仿宋_GB2312"/>
          <w:lang w:val="en-US" w:eastAsia="zh-CN"/>
        </w:rPr>
        <w:t>20</w:t>
      </w:r>
      <w:r>
        <w:rPr>
          <w:rFonts w:hint="eastAsia" w:ascii="仿宋_GB2312" w:hAnsi="华文中宋" w:eastAsia="仿宋_GB2312"/>
        </w:rPr>
        <w:t>年</w:t>
      </w:r>
      <w:r>
        <w:rPr>
          <w:rFonts w:hint="eastAsia" w:ascii="仿宋_GB2312" w:hAnsi="华文中宋" w:eastAsia="仿宋_GB2312"/>
          <w:lang w:val="en-US" w:eastAsia="zh-CN"/>
        </w:rPr>
        <w:t>1</w:t>
      </w:r>
      <w:r>
        <w:rPr>
          <w:rFonts w:hint="eastAsia" w:ascii="仿宋_GB2312" w:hAnsi="华文中宋" w:eastAsia="仿宋_GB2312"/>
        </w:rPr>
        <w:t>月</w:t>
      </w:r>
      <w:r>
        <w:rPr>
          <w:rFonts w:hint="eastAsia" w:ascii="仿宋_GB2312" w:hAnsi="华文中宋" w:eastAsia="仿宋_GB2312"/>
          <w:lang w:val="en-US" w:eastAsia="zh-CN"/>
        </w:rPr>
        <w:t>14</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4553908"/>
    <w:rsid w:val="04624C6A"/>
    <w:rsid w:val="1D622476"/>
    <w:rsid w:val="1DF117B4"/>
    <w:rsid w:val="1F352763"/>
    <w:rsid w:val="20423723"/>
    <w:rsid w:val="26D5305D"/>
    <w:rsid w:val="2753099F"/>
    <w:rsid w:val="2A9514D0"/>
    <w:rsid w:val="2BD91595"/>
    <w:rsid w:val="33811546"/>
    <w:rsid w:val="3AFA7CFA"/>
    <w:rsid w:val="3BCD4C50"/>
    <w:rsid w:val="3E4078F7"/>
    <w:rsid w:val="4276070C"/>
    <w:rsid w:val="439B0DFC"/>
    <w:rsid w:val="46EF4E18"/>
    <w:rsid w:val="57D9627C"/>
    <w:rsid w:val="5D467B04"/>
    <w:rsid w:val="636D73EB"/>
    <w:rsid w:val="6569388D"/>
    <w:rsid w:val="66A104B6"/>
    <w:rsid w:val="6701210F"/>
    <w:rsid w:val="6FF96BFE"/>
    <w:rsid w:val="7502630B"/>
    <w:rsid w:val="75DD66F1"/>
    <w:rsid w:val="764E4272"/>
    <w:rsid w:val="76964B28"/>
    <w:rsid w:val="7D73736B"/>
    <w:rsid w:val="7DD861F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28</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2019-11-25T01:36:00Z</cp:lastPrinted>
  <dcterms:modified xsi:type="dcterms:W3CDTF">2022-07-18T02:31:37Z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