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302</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蒋某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蒋某不服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w:t>
      </w:r>
      <w:r>
        <w:rPr>
          <w:rFonts w:hint="eastAsia" w:ascii="仿宋_GB2312" w:hAnsi="仿宋_GB2312" w:eastAsia="仿宋_GB2312" w:cs="仿宋_GB2312"/>
          <w:sz w:val="32"/>
          <w:szCs w:val="32"/>
          <w:lang w:eastAsia="zh-CN"/>
        </w:rPr>
        <w:t>2019年11月22日</w:t>
      </w:r>
      <w:r>
        <w:rPr>
          <w:rFonts w:hint="eastAsia" w:ascii="仿宋_GB2312" w:hAnsi="仿宋_GB2312" w:eastAsia="仿宋_GB2312" w:cs="仿宋_GB2312"/>
          <w:sz w:val="32"/>
          <w:szCs w:val="32"/>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西乡XXX2期1栋的住宅，当时在开盘现场以及和销售人员的沟通中，开发商员工说：1.此栋3楼有架空层空中花园；2.楼下是步行街可以直达对面2期的花园；3.物业为XXX物业。待今年1月份收楼交房时，发现架空层被开发商私自售卖，楼下步行街变成了机动车道；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19日，申请人通过12315平台提起举报（工单号：201909192123），称深圳市XXX（集团）股份有限公司（以下简称XXX公司）在销售“XXX二期天赋”（暨XXX二期）涉嫌虚假宣传，要求被申请人予以处理。被申请人已于2019年1月14日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西乡街道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19日，申请人通过12315平台提起举报（工单号：201909192123），称深圳市XXX（集团）股份有限公司（以下简称XXX公司）在销售“XXX二期天赋”（暨XXXXXX二期）涉嫌虚假宣传：1、XXXXXX二期1栋与3栋、5栋之间道路的沙盘模型效果为步行街，现在为通车道；2、该楼盘宣传的空中花园没有了；3、该楼盘宣传引入XXX物业，实际没有引入XXX物业；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XXX“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2019年11月7日，被申请人通过短信方式将申请人关于深圳市XXX（集团）股份有限公司举报处理结果告知申请人。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商业步行街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XXX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w:t>
      </w:r>
      <w:bookmarkStart w:id="0" w:name="_GoBack"/>
      <w:bookmarkEnd w:id="0"/>
      <w:r>
        <w:rPr>
          <w:rFonts w:hint="eastAsia" w:ascii="仿宋_GB2312" w:hAnsi="仿宋_GB2312" w:eastAsia="仿宋_GB2312" w:cs="仿宋_GB2312"/>
          <w:sz w:val="32"/>
          <w:szCs w:val="32"/>
          <w:lang w:val="en-US" w:eastAsia="zh-CN"/>
        </w:rPr>
        <w:t>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8D06DF"/>
    <w:rsid w:val="093864EB"/>
    <w:rsid w:val="09D049FD"/>
    <w:rsid w:val="0E1D2262"/>
    <w:rsid w:val="0E456EE6"/>
    <w:rsid w:val="0ED60BE0"/>
    <w:rsid w:val="12581D6C"/>
    <w:rsid w:val="18932473"/>
    <w:rsid w:val="19B321C3"/>
    <w:rsid w:val="1B25678A"/>
    <w:rsid w:val="262C1C6D"/>
    <w:rsid w:val="299C3199"/>
    <w:rsid w:val="29F559ED"/>
    <w:rsid w:val="2A9543B6"/>
    <w:rsid w:val="2AEA1578"/>
    <w:rsid w:val="2B375263"/>
    <w:rsid w:val="2D2B535A"/>
    <w:rsid w:val="30A15990"/>
    <w:rsid w:val="37CF0F91"/>
    <w:rsid w:val="3A775690"/>
    <w:rsid w:val="3C915448"/>
    <w:rsid w:val="3F750BEC"/>
    <w:rsid w:val="40AE6D1D"/>
    <w:rsid w:val="42822002"/>
    <w:rsid w:val="4372127B"/>
    <w:rsid w:val="449F2352"/>
    <w:rsid w:val="4AF54DDB"/>
    <w:rsid w:val="4B6E0A01"/>
    <w:rsid w:val="500E41FD"/>
    <w:rsid w:val="529B0EFE"/>
    <w:rsid w:val="55894277"/>
    <w:rsid w:val="56274591"/>
    <w:rsid w:val="57BA33C4"/>
    <w:rsid w:val="584C2DA2"/>
    <w:rsid w:val="5914295B"/>
    <w:rsid w:val="5AF36FB1"/>
    <w:rsid w:val="5E964062"/>
    <w:rsid w:val="5F0D444E"/>
    <w:rsid w:val="61064D23"/>
    <w:rsid w:val="654E5143"/>
    <w:rsid w:val="69D76C7E"/>
    <w:rsid w:val="6A985719"/>
    <w:rsid w:val="6ACA1CFB"/>
    <w:rsid w:val="6B96026F"/>
    <w:rsid w:val="6D25767E"/>
    <w:rsid w:val="6D704F5E"/>
    <w:rsid w:val="73147CD6"/>
    <w:rsid w:val="77D02B29"/>
    <w:rsid w:val="7A3B7522"/>
    <w:rsid w:val="7A5F3B7A"/>
    <w:rsid w:val="7A7F2106"/>
    <w:rsid w:val="7ACD1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2022-07-18T02:11:31Z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