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98" w:firstLineChars="45"/>
        <w:jc w:val="center"/>
        <w:outlineLvl w:val="0"/>
        <w:rPr>
          <w:rFonts w:ascii="华文中宋" w:hAnsi="华文中宋" w:eastAsia="华文中宋"/>
          <w:b/>
          <w:color w:val="auto"/>
          <w:kern w:val="0"/>
          <w:sz w:val="44"/>
          <w:szCs w:val="44"/>
          <w:highlight w:val="none"/>
        </w:rPr>
      </w:pPr>
      <w:r>
        <w:rPr>
          <w:rFonts w:hint="eastAsia" w:ascii="华文中宋" w:hAnsi="华文中宋" w:eastAsia="华文中宋"/>
          <w:b/>
          <w:color w:val="auto"/>
          <w:kern w:val="0"/>
          <w:sz w:val="44"/>
          <w:szCs w:val="44"/>
          <w:highlight w:val="none"/>
        </w:rPr>
        <w:t>深圳市市场监督管理局2022年电梯维护</w:t>
      </w:r>
    </w:p>
    <w:p>
      <w:pPr>
        <w:spacing w:line="600" w:lineRule="exact"/>
        <w:ind w:firstLine="198" w:firstLineChars="45"/>
        <w:jc w:val="center"/>
        <w:outlineLvl w:val="0"/>
        <w:rPr>
          <w:rFonts w:ascii="华文中宋" w:hAnsi="华文中宋" w:eastAsia="华文中宋"/>
          <w:b/>
          <w:color w:val="auto"/>
          <w:kern w:val="0"/>
          <w:sz w:val="44"/>
          <w:szCs w:val="44"/>
          <w:highlight w:val="none"/>
        </w:rPr>
      </w:pPr>
      <w:r>
        <w:rPr>
          <w:rFonts w:hint="eastAsia" w:ascii="华文中宋" w:hAnsi="华文中宋" w:eastAsia="华文中宋"/>
          <w:b/>
          <w:color w:val="auto"/>
          <w:kern w:val="0"/>
          <w:sz w:val="44"/>
          <w:szCs w:val="44"/>
          <w:highlight w:val="none"/>
        </w:rPr>
        <w:t>保养质量监督抽查工作方案</w:t>
      </w:r>
    </w:p>
    <w:p>
      <w:pPr>
        <w:spacing w:line="360" w:lineRule="exact"/>
        <w:ind w:firstLine="641"/>
        <w:rPr>
          <w:rFonts w:ascii="仿宋_GB2312" w:eastAsia="仿宋_GB2312"/>
          <w:color w:val="auto"/>
          <w:sz w:val="32"/>
          <w:szCs w:val="32"/>
          <w:highlight w:val="none"/>
        </w:rPr>
      </w:pP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为持续提高全市电梯维护保养质量，防范电梯伤亡事故，不断提高电梯安全保障水平，根据《深圳经济特区特种设备安全条例》的规定，市市场监督管理局决定在全市范围内开展电梯维护保养质量监督抽查，特制定本工作方案。</w:t>
      </w:r>
    </w:p>
    <w:p>
      <w:pPr>
        <w:spacing w:line="600" w:lineRule="atLeast"/>
        <w:ind w:firstLine="160" w:firstLineChars="50"/>
        <w:outlineLvl w:val="1"/>
        <w:rPr>
          <w:rFonts w:ascii="仿宋" w:hAnsi="仿宋" w:eastAsia="黑体"/>
          <w:bCs/>
          <w:color w:val="auto"/>
          <w:sz w:val="32"/>
          <w:szCs w:val="32"/>
          <w:highlight w:val="none"/>
        </w:rPr>
      </w:pPr>
      <w:r>
        <w:rPr>
          <w:rFonts w:hint="eastAsia" w:ascii="仿宋" w:hAnsi="仿宋" w:eastAsia="黑体"/>
          <w:bCs/>
          <w:color w:val="auto"/>
          <w:sz w:val="32"/>
          <w:szCs w:val="32"/>
          <w:highlight w:val="none"/>
        </w:rPr>
        <w:t xml:space="preserve">   一、监督抽查工作内容</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（一）监督抽查数量</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计划抽查</w:t>
      </w:r>
      <w:r>
        <w:rPr>
          <w:rFonts w:ascii="仿宋_GB2312" w:eastAsia="仿宋_GB2312"/>
          <w:color w:val="auto"/>
          <w:sz w:val="32"/>
          <w:szCs w:val="32"/>
          <w:highlight w:val="none"/>
        </w:rPr>
        <w:t>6625</w:t>
      </w:r>
      <w:r>
        <w:rPr>
          <w:rFonts w:hint="eastAsia" w:ascii="仿宋_GB2312" w:eastAsia="仿宋_GB2312"/>
          <w:color w:val="auto"/>
          <w:sz w:val="32"/>
          <w:szCs w:val="32"/>
          <w:highlight w:val="none"/>
        </w:rPr>
        <w:t>台电梯，其中曳引式电梯</w:t>
      </w:r>
      <w:r>
        <w:rPr>
          <w:rFonts w:ascii="仿宋_GB2312" w:eastAsia="仿宋_GB2312"/>
          <w:color w:val="auto"/>
          <w:sz w:val="32"/>
          <w:szCs w:val="32"/>
          <w:highlight w:val="none"/>
        </w:rPr>
        <w:t>6125</w:t>
      </w:r>
      <w:r>
        <w:rPr>
          <w:rFonts w:hint="eastAsia" w:ascii="仿宋_GB2312" w:eastAsia="仿宋_GB2312"/>
          <w:color w:val="auto"/>
          <w:sz w:val="32"/>
          <w:szCs w:val="32"/>
          <w:highlight w:val="none"/>
        </w:rPr>
        <w:t>台，自动扶梯及自动人行道500台。</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（二）监督抽查项目</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见附件1。</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（三）监督抽查合格结论判定规则</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电梯监督抽查合格结论判定规则按照定期检验合格结论判定规则执行。</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电梯维保单位维保质量监督抽查合格结论判定规则为：经监督抽查合格的电梯数量占该单位被监督抽查总数的比例高于80%（不含本数）的，判定为合格，否则判定为不合格。</w:t>
      </w:r>
    </w:p>
    <w:p>
      <w:pPr>
        <w:spacing w:line="600" w:lineRule="atLeast"/>
        <w:ind w:firstLine="640"/>
        <w:outlineLvl w:val="1"/>
        <w:rPr>
          <w:rFonts w:ascii="仿宋" w:hAnsi="仿宋" w:eastAsia="黑体"/>
          <w:bCs/>
          <w:color w:val="auto"/>
          <w:sz w:val="32"/>
          <w:szCs w:val="32"/>
          <w:highlight w:val="none"/>
        </w:rPr>
      </w:pPr>
      <w:r>
        <w:rPr>
          <w:rFonts w:hint="eastAsia" w:ascii="仿宋" w:hAnsi="仿宋" w:eastAsia="黑体"/>
          <w:bCs/>
          <w:color w:val="auto"/>
          <w:sz w:val="32"/>
          <w:szCs w:val="32"/>
          <w:highlight w:val="none"/>
        </w:rPr>
        <w:t>二、监督抽查抽样</w:t>
      </w:r>
    </w:p>
    <w:p>
      <w:pPr>
        <w:pStyle w:val="6"/>
        <w:spacing w:line="240" w:lineRule="auto"/>
        <w:ind w:firstLine="640"/>
        <w:rPr>
          <w:rFonts w:eastAsia="楷体_GB2312"/>
          <w:b/>
          <w:bCs w:val="0"/>
          <w:color w:val="auto"/>
          <w:szCs w:val="22"/>
          <w:highlight w:val="none"/>
        </w:rPr>
      </w:pPr>
      <w:r>
        <w:rPr>
          <w:rFonts w:hint="eastAsia" w:eastAsia="楷体_GB2312"/>
          <w:b/>
          <w:bCs w:val="0"/>
          <w:color w:val="auto"/>
          <w:szCs w:val="22"/>
          <w:highlight w:val="none"/>
        </w:rPr>
        <w:t>（</w:t>
      </w:r>
      <w:r>
        <w:rPr>
          <w:rFonts w:eastAsia="楷体_GB2312"/>
          <w:b/>
          <w:bCs w:val="0"/>
          <w:color w:val="auto"/>
          <w:szCs w:val="22"/>
          <w:highlight w:val="none"/>
        </w:rPr>
        <w:t>一）</w:t>
      </w:r>
      <w:r>
        <w:rPr>
          <w:rFonts w:hint="eastAsia" w:eastAsia="楷体_GB2312"/>
          <w:b/>
          <w:bCs w:val="0"/>
          <w:color w:val="auto"/>
          <w:szCs w:val="22"/>
          <w:highlight w:val="none"/>
        </w:rPr>
        <w:t>抽样范围</w:t>
      </w:r>
    </w:p>
    <w:p>
      <w:pPr>
        <w:pStyle w:val="10"/>
        <w:rPr>
          <w:rFonts w:hAnsiTheme="minorEastAsia"/>
          <w:color w:val="auto"/>
          <w:highlight w:val="none"/>
        </w:rPr>
      </w:pPr>
      <w:r>
        <w:rPr>
          <w:rFonts w:hint="eastAsia" w:hAnsiTheme="minorEastAsia"/>
          <w:color w:val="auto"/>
          <w:highlight w:val="none"/>
        </w:rPr>
        <w:t>1</w:t>
      </w:r>
      <w:r>
        <w:rPr>
          <w:rFonts w:hAnsiTheme="minorEastAsia"/>
          <w:color w:val="auto"/>
          <w:highlight w:val="none"/>
        </w:rPr>
        <w:t>.</w:t>
      </w:r>
      <w:r>
        <w:rPr>
          <w:rFonts w:hint="eastAsia" w:hAnsiTheme="minorEastAsia"/>
          <w:color w:val="auto"/>
          <w:highlight w:val="none"/>
        </w:rPr>
        <w:t>以涉及公共安全投入使用时间5年以上的电梯为主。</w:t>
      </w:r>
    </w:p>
    <w:p>
      <w:pPr>
        <w:pStyle w:val="10"/>
        <w:rPr>
          <w:rFonts w:hAnsiTheme="minorEastAsia"/>
          <w:color w:val="auto"/>
          <w:highlight w:val="none"/>
        </w:rPr>
      </w:pPr>
      <w:r>
        <w:rPr>
          <w:rFonts w:hint="eastAsia" w:hAnsiTheme="minorEastAsia"/>
          <w:color w:val="auto"/>
          <w:highlight w:val="none"/>
        </w:rPr>
        <w:t>2</w:t>
      </w:r>
      <w:r>
        <w:rPr>
          <w:rFonts w:hAnsiTheme="minorEastAsia"/>
          <w:color w:val="auto"/>
          <w:highlight w:val="none"/>
        </w:rPr>
        <w:t>.</w:t>
      </w:r>
      <w:r>
        <w:rPr>
          <w:rFonts w:hint="eastAsia" w:hAnsiTheme="minorEastAsia"/>
          <w:color w:val="auto"/>
          <w:highlight w:val="none"/>
        </w:rPr>
        <w:t>按公众聚集场所（车站、口岸、客运码头、商场、学校、幼儿园、医院、体育场馆、展览馆、公园、地铁、机场、餐饮场所、宾馆、影剧院、图书馆、儿童活动中心、公共浴池、养老机构）、住宅小区、机关办公场所、工厂、其它场所顺序抽样。</w:t>
      </w:r>
    </w:p>
    <w:p>
      <w:pPr>
        <w:pStyle w:val="6"/>
        <w:spacing w:line="240" w:lineRule="auto"/>
        <w:ind w:firstLine="640"/>
        <w:rPr>
          <w:rFonts w:eastAsia="楷体_GB2312"/>
          <w:b/>
          <w:bCs w:val="0"/>
          <w:color w:val="auto"/>
          <w:szCs w:val="22"/>
          <w:highlight w:val="none"/>
        </w:rPr>
      </w:pPr>
      <w:r>
        <w:rPr>
          <w:rFonts w:hint="eastAsia" w:eastAsia="楷体_GB2312"/>
          <w:b/>
          <w:bCs w:val="0"/>
          <w:color w:val="auto"/>
          <w:szCs w:val="22"/>
          <w:highlight w:val="none"/>
        </w:rPr>
        <w:t>（</w:t>
      </w:r>
      <w:r>
        <w:rPr>
          <w:rFonts w:eastAsia="楷体_GB2312"/>
          <w:b/>
          <w:bCs w:val="0"/>
          <w:color w:val="auto"/>
          <w:szCs w:val="22"/>
          <w:highlight w:val="none"/>
        </w:rPr>
        <w:t>二）</w:t>
      </w:r>
      <w:r>
        <w:rPr>
          <w:rFonts w:hint="eastAsia" w:eastAsia="楷体_GB2312"/>
          <w:b/>
          <w:bCs w:val="0"/>
          <w:color w:val="auto"/>
          <w:szCs w:val="22"/>
          <w:highlight w:val="none"/>
        </w:rPr>
        <w:t>抽样要</w:t>
      </w:r>
      <w:r>
        <w:rPr>
          <w:rFonts w:eastAsia="楷体_GB2312"/>
          <w:b/>
          <w:bCs w:val="0"/>
          <w:color w:val="auto"/>
          <w:szCs w:val="22"/>
          <w:highlight w:val="none"/>
        </w:rPr>
        <w:t>求</w:t>
      </w:r>
    </w:p>
    <w:p>
      <w:pPr>
        <w:pStyle w:val="10"/>
        <w:ind w:firstLineChars="200"/>
        <w:rPr>
          <w:rFonts w:hAnsiTheme="minorEastAsia"/>
          <w:color w:val="auto"/>
          <w:highlight w:val="none"/>
        </w:rPr>
      </w:pPr>
      <w:r>
        <w:rPr>
          <w:rFonts w:hint="eastAsia" w:hAnsiTheme="minorEastAsia"/>
          <w:color w:val="auto"/>
          <w:highlight w:val="none"/>
        </w:rPr>
        <w:t>1</w:t>
      </w:r>
      <w:r>
        <w:rPr>
          <w:rFonts w:hAnsiTheme="minorEastAsia"/>
          <w:color w:val="auto"/>
          <w:highlight w:val="none"/>
        </w:rPr>
        <w:t>.</w:t>
      </w:r>
      <w:r>
        <w:rPr>
          <w:rFonts w:hint="eastAsia" w:hAnsiTheme="minorEastAsia"/>
          <w:color w:val="auto"/>
          <w:highlight w:val="none"/>
        </w:rPr>
        <w:t>上年度被市市场监</w:t>
      </w:r>
      <w:r>
        <w:rPr>
          <w:rFonts w:hint="eastAsia" w:hAnsiTheme="minorEastAsia"/>
          <w:color w:val="auto"/>
          <w:highlight w:val="none"/>
          <w:lang w:eastAsia="zh-CN"/>
        </w:rPr>
        <w:t>督</w:t>
      </w:r>
      <w:bookmarkStart w:id="0" w:name="_GoBack"/>
      <w:bookmarkEnd w:id="0"/>
      <w:r>
        <w:rPr>
          <w:rFonts w:hint="eastAsia" w:hAnsiTheme="minorEastAsia"/>
          <w:color w:val="auto"/>
          <w:highlight w:val="none"/>
        </w:rPr>
        <w:t>管理局各辖区局列为乘客投诉热点的、上年度发生安全责任事故的电梯直接纳入监督抽查。</w:t>
      </w:r>
    </w:p>
    <w:p>
      <w:pPr>
        <w:pStyle w:val="6"/>
        <w:ind w:firstLine="640" w:firstLineChars="200"/>
        <w:rPr>
          <w:rFonts w:hint="default" w:ascii="仿宋_GB2312" w:eastAsia="仿宋_GB2312" w:hAnsiTheme="minorEastAsia"/>
          <w:bCs w:val="0"/>
          <w:color w:val="auto"/>
          <w:highlight w:val="none"/>
          <w:lang w:val="en-US" w:eastAsia="zh-CN"/>
        </w:rPr>
      </w:pPr>
      <w:r>
        <w:rPr>
          <w:rFonts w:hint="eastAsia" w:ascii="仿宋_GB2312" w:eastAsia="仿宋_GB2312" w:hAnsiTheme="minorEastAsia"/>
          <w:bCs w:val="0"/>
          <w:color w:val="auto"/>
          <w:highlight w:val="none"/>
        </w:rPr>
        <w:t>2</w:t>
      </w:r>
      <w:r>
        <w:rPr>
          <w:rFonts w:ascii="仿宋_GB2312" w:eastAsia="仿宋_GB2312" w:hAnsiTheme="minorEastAsia"/>
          <w:bCs w:val="0"/>
          <w:color w:val="auto"/>
          <w:highlight w:val="none"/>
        </w:rPr>
        <w:t>.</w:t>
      </w:r>
      <w:r>
        <w:rPr>
          <w:rFonts w:hint="eastAsia" w:ascii="仿宋_GB2312" w:eastAsia="仿宋_GB2312" w:hAnsiTheme="minorEastAsia"/>
          <w:bCs w:val="0"/>
          <w:color w:val="auto"/>
          <w:highlight w:val="none"/>
          <w:lang w:eastAsia="zh-CN"/>
        </w:rPr>
        <w:t>根据上年度电梯维保单位参与电梯按需维保试点电梯数量，适当降低其抽查比例</w:t>
      </w:r>
      <w:r>
        <w:rPr>
          <w:rFonts w:hint="eastAsia" w:ascii="仿宋_GB2312" w:eastAsia="仿宋_GB2312" w:hAnsiTheme="minorEastAsia"/>
          <w:bCs w:val="0"/>
          <w:color w:val="auto"/>
          <w:highlight w:val="none"/>
          <w:lang w:val="en-US" w:eastAsia="zh-CN"/>
        </w:rPr>
        <w:t>。</w:t>
      </w:r>
    </w:p>
    <w:p>
      <w:pPr>
        <w:pStyle w:val="6"/>
        <w:ind w:firstLine="640" w:firstLineChars="200"/>
        <w:rPr>
          <w:rFonts w:ascii="仿宋_GB2312" w:eastAsia="仿宋_GB2312" w:hAnsiTheme="minorEastAsia"/>
          <w:bCs w:val="0"/>
          <w:color w:val="auto"/>
          <w:highlight w:val="none"/>
        </w:rPr>
      </w:pPr>
      <w:r>
        <w:rPr>
          <w:rFonts w:hint="eastAsia" w:ascii="仿宋_GB2312" w:eastAsia="仿宋_GB2312" w:hAnsiTheme="minorEastAsia"/>
          <w:bCs w:val="0"/>
          <w:color w:val="auto"/>
          <w:highlight w:val="none"/>
          <w:lang w:val="en-US" w:eastAsia="zh-CN"/>
        </w:rPr>
        <w:t>3.</w:t>
      </w:r>
      <w:r>
        <w:rPr>
          <w:rFonts w:hint="eastAsia" w:ascii="仿宋_GB2312" w:eastAsia="仿宋_GB2312" w:hAnsiTheme="minorEastAsia"/>
          <w:bCs w:val="0"/>
          <w:color w:val="auto"/>
          <w:highlight w:val="none"/>
        </w:rPr>
        <w:t>每个维保单位至少</w:t>
      </w:r>
      <w:r>
        <w:rPr>
          <w:rFonts w:ascii="仿宋_GB2312" w:eastAsia="仿宋_GB2312" w:hAnsiTheme="minorEastAsia"/>
          <w:bCs w:val="0"/>
          <w:color w:val="auto"/>
          <w:highlight w:val="none"/>
        </w:rPr>
        <w:t>抽取</w:t>
      </w:r>
      <w:r>
        <w:rPr>
          <w:rFonts w:hint="eastAsia" w:ascii="仿宋_GB2312" w:eastAsia="仿宋_GB2312" w:hAnsiTheme="minorEastAsia"/>
          <w:bCs w:val="0"/>
          <w:color w:val="auto"/>
          <w:highlight w:val="none"/>
        </w:rPr>
        <w:t>10台电梯。有符合以下情形之一的单位，加抽10台：</w:t>
      </w:r>
    </w:p>
    <w:p>
      <w:pPr>
        <w:pStyle w:val="6"/>
        <w:ind w:firstLine="640" w:firstLineChars="200"/>
        <w:rPr>
          <w:rFonts w:ascii="仿宋_GB2312" w:eastAsia="仿宋_GB2312" w:hAnsiTheme="minorEastAsia"/>
          <w:bCs w:val="0"/>
          <w:color w:val="auto"/>
          <w:highlight w:val="none"/>
        </w:rPr>
      </w:pPr>
      <w:r>
        <w:rPr>
          <w:rFonts w:hint="eastAsia" w:ascii="仿宋_GB2312" w:eastAsia="仿宋_GB2312" w:hAnsiTheme="minorEastAsia"/>
          <w:bCs w:val="0"/>
          <w:color w:val="auto"/>
          <w:highlight w:val="none"/>
        </w:rPr>
        <w:t>（1）在</w:t>
      </w:r>
      <w:r>
        <w:rPr>
          <w:rFonts w:ascii="仿宋_GB2312" w:eastAsia="仿宋_GB2312" w:hAnsiTheme="minorEastAsia"/>
          <w:bCs w:val="0"/>
          <w:color w:val="auto"/>
          <w:highlight w:val="none"/>
        </w:rPr>
        <w:t>深圳</w:t>
      </w:r>
      <w:r>
        <w:rPr>
          <w:rFonts w:hint="eastAsia" w:ascii="仿宋_GB2312" w:eastAsia="仿宋_GB2312" w:hAnsiTheme="minorEastAsia"/>
          <w:bCs w:val="0"/>
          <w:color w:val="auto"/>
          <w:highlight w:val="none"/>
        </w:rPr>
        <w:t>市</w:t>
      </w:r>
      <w:r>
        <w:rPr>
          <w:rFonts w:ascii="仿宋_GB2312" w:eastAsia="仿宋_GB2312" w:hAnsiTheme="minorEastAsia"/>
          <w:bCs w:val="0"/>
          <w:color w:val="auto"/>
          <w:highlight w:val="none"/>
        </w:rPr>
        <w:t>维保的电梯数量</w:t>
      </w:r>
      <w:r>
        <w:rPr>
          <w:rFonts w:hint="eastAsia" w:ascii="仿宋_GB2312" w:eastAsia="仿宋_GB2312" w:hAnsiTheme="minorEastAsia"/>
          <w:bCs w:val="0"/>
          <w:color w:val="auto"/>
          <w:highlight w:val="none"/>
        </w:rPr>
        <w:t>超过100台的维</w:t>
      </w:r>
      <w:r>
        <w:rPr>
          <w:rFonts w:ascii="仿宋_GB2312" w:eastAsia="仿宋_GB2312" w:hAnsiTheme="minorEastAsia"/>
          <w:bCs w:val="0"/>
          <w:color w:val="auto"/>
          <w:highlight w:val="none"/>
        </w:rPr>
        <w:t>保单位中</w:t>
      </w:r>
      <w:r>
        <w:rPr>
          <w:rFonts w:hint="eastAsia" w:ascii="仿宋_GB2312" w:eastAsia="仿宋_GB2312" w:hAnsiTheme="minorEastAsia"/>
          <w:bCs w:val="0"/>
          <w:color w:val="auto"/>
          <w:highlight w:val="none"/>
        </w:rPr>
        <w:t>2</w:t>
      </w:r>
      <w:r>
        <w:rPr>
          <w:rFonts w:ascii="仿宋_GB2312" w:eastAsia="仿宋_GB2312" w:hAnsiTheme="minorEastAsia"/>
          <w:bCs w:val="0"/>
          <w:color w:val="auto"/>
          <w:highlight w:val="none"/>
        </w:rPr>
        <w:t>02</w:t>
      </w:r>
      <w:r>
        <w:rPr>
          <w:rFonts w:hint="eastAsia" w:ascii="仿宋_GB2312" w:eastAsia="仿宋_GB2312" w:hAnsiTheme="minorEastAsia"/>
          <w:bCs w:val="0"/>
          <w:color w:val="auto"/>
          <w:highlight w:val="none"/>
        </w:rPr>
        <w:t>1年度电梯统保投保率排名居后100名的；</w:t>
      </w:r>
    </w:p>
    <w:p>
      <w:pPr>
        <w:pStyle w:val="6"/>
        <w:ind w:firstLine="640" w:firstLineChars="200"/>
        <w:rPr>
          <w:rFonts w:ascii="仿宋_GB2312" w:eastAsia="仿宋_GB2312" w:hAnsiTheme="minorEastAsia"/>
          <w:bCs w:val="0"/>
          <w:color w:val="auto"/>
          <w:highlight w:val="none"/>
        </w:rPr>
      </w:pPr>
      <w:r>
        <w:rPr>
          <w:rFonts w:hint="eastAsia" w:ascii="仿宋_GB2312" w:eastAsia="仿宋_GB2312" w:hAnsiTheme="minorEastAsia"/>
          <w:bCs w:val="0"/>
          <w:color w:val="auto"/>
          <w:highlight w:val="none"/>
        </w:rPr>
        <w:t>（2）未与市市场监管局进行电梯维保无纸化数据对接的（截至2022年4月30日）。</w:t>
      </w:r>
    </w:p>
    <w:p>
      <w:pPr>
        <w:spacing w:line="600" w:lineRule="atLeast"/>
        <w:ind w:firstLine="640"/>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（3）深圳市电梯应急处置服务平台（96333平台）反馈的2021年度存在电梯应急处置不符合要求情况的（包括电梯故障分析报告提交不及时、未标注使用场所性质情况）</w:t>
      </w:r>
      <w:r>
        <w:rPr>
          <w:rFonts w:hint="eastAsia" w:ascii="仿宋_GB2312" w:eastAsia="仿宋_GB2312" w:hAnsiTheme="minorEastAsia"/>
          <w:color w:val="auto"/>
          <w:sz w:val="32"/>
          <w:szCs w:val="32"/>
          <w:highlight w:val="none"/>
          <w:lang w:eastAsia="zh-CN"/>
        </w:rPr>
        <w:t>。</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监督抽查抽样工作由市市场监管局特设处负责。</w:t>
      </w:r>
    </w:p>
    <w:p>
      <w:pPr>
        <w:numPr>
          <w:ilvl w:val="0"/>
          <w:numId w:val="1"/>
        </w:numPr>
        <w:spacing w:line="600" w:lineRule="atLeast"/>
        <w:outlineLvl w:val="1"/>
        <w:rPr>
          <w:rFonts w:ascii="仿宋" w:hAnsi="仿宋" w:eastAsia="黑体"/>
          <w:bCs/>
          <w:color w:val="auto"/>
          <w:sz w:val="32"/>
          <w:szCs w:val="32"/>
          <w:highlight w:val="none"/>
        </w:rPr>
      </w:pPr>
      <w:r>
        <w:rPr>
          <w:rFonts w:hint="eastAsia" w:ascii="仿宋" w:hAnsi="仿宋" w:eastAsia="黑体"/>
          <w:bCs/>
          <w:color w:val="auto"/>
          <w:sz w:val="32"/>
          <w:szCs w:val="32"/>
          <w:highlight w:val="none"/>
        </w:rPr>
        <w:t>监督抽查现场检验</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（一）监督抽查任务告知</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拟实施监督抽查时，监督抽查检验机构应提前一天告知被查单位抽查时间及相关工作依据、程序、要求。抽查电梯具体编号，使用单位，安装地址等信息在实施检验当天方可告知被抽查单位。现场抽查</w:t>
      </w:r>
      <w:r>
        <w:rPr>
          <w:rFonts w:ascii="仿宋_GB2312" w:eastAsia="仿宋_GB2312"/>
          <w:color w:val="auto"/>
          <w:sz w:val="32"/>
          <w:szCs w:val="32"/>
          <w:highlight w:val="none"/>
        </w:rPr>
        <w:t>时，</w:t>
      </w:r>
      <w:r>
        <w:rPr>
          <w:rFonts w:hint="eastAsia" w:ascii="仿宋_GB2312" w:eastAsia="仿宋_GB2312"/>
          <w:color w:val="auto"/>
          <w:sz w:val="32"/>
          <w:szCs w:val="32"/>
          <w:highlight w:val="none"/>
        </w:rPr>
        <w:t>监督抽查检验机构应出具《深圳市电梯维护保养质量监督抽查通知单》（下称《抽查通知单》，附件2），《抽查通知单》应载明抽查结果将向社会公示。《抽查通知单》由被</w:t>
      </w:r>
      <w:r>
        <w:rPr>
          <w:rFonts w:ascii="仿宋_GB2312" w:eastAsia="仿宋_GB2312"/>
          <w:color w:val="auto"/>
          <w:sz w:val="32"/>
          <w:szCs w:val="32"/>
          <w:highlight w:val="none"/>
        </w:rPr>
        <w:t>抽查</w:t>
      </w:r>
      <w:r>
        <w:rPr>
          <w:rFonts w:hint="eastAsia" w:ascii="仿宋_GB2312" w:eastAsia="仿宋_GB2312"/>
          <w:color w:val="auto"/>
          <w:sz w:val="32"/>
          <w:szCs w:val="32"/>
          <w:highlight w:val="none"/>
        </w:rPr>
        <w:t>单位</w:t>
      </w:r>
      <w:r>
        <w:rPr>
          <w:rFonts w:ascii="仿宋_GB2312" w:eastAsia="仿宋_GB2312"/>
          <w:color w:val="auto"/>
          <w:sz w:val="32"/>
          <w:szCs w:val="32"/>
          <w:highlight w:val="none"/>
        </w:rPr>
        <w:t>法定代表人或其书面授权人签收，</w:t>
      </w:r>
      <w:r>
        <w:rPr>
          <w:rFonts w:hint="eastAsia" w:ascii="仿宋_GB2312" w:eastAsia="仿宋_GB2312"/>
          <w:color w:val="auto"/>
          <w:sz w:val="32"/>
          <w:szCs w:val="32"/>
          <w:highlight w:val="none"/>
        </w:rPr>
        <w:t>同时抄送使用单位。</w:t>
      </w:r>
    </w:p>
    <w:p>
      <w:pPr>
        <w:spacing w:line="600" w:lineRule="atLeast"/>
        <w:ind w:firstLine="640"/>
        <w:rPr>
          <w:rFonts w:ascii="楷体_GB2312" w:eastAsia="楷体_GB2312"/>
          <w:b/>
          <w:color w:val="auto"/>
          <w:sz w:val="32"/>
          <w:szCs w:val="32"/>
          <w:highlight w:val="none"/>
        </w:rPr>
      </w:pPr>
      <w:r>
        <w:rPr>
          <w:rFonts w:hint="eastAsia" w:ascii="楷体_GB2312" w:eastAsia="楷体_GB2312"/>
          <w:b/>
          <w:color w:val="auto"/>
          <w:sz w:val="32"/>
          <w:szCs w:val="32"/>
          <w:highlight w:val="none"/>
        </w:rPr>
        <w:t>（二）现场检验</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监督抽查检验机构实施现场检验时应由被抽查单位法定代表人或其书面授权人陪同（下称“陪检人员”）。必要时，辖区局可派人对工作现场进行监督并协调解决工作中存在的困难或问题。使用</w:t>
      </w:r>
      <w:r>
        <w:rPr>
          <w:rFonts w:ascii="仿宋_GB2312" w:eastAsia="仿宋_GB2312"/>
          <w:color w:val="auto"/>
          <w:sz w:val="32"/>
          <w:szCs w:val="32"/>
          <w:highlight w:val="none"/>
        </w:rPr>
        <w:t>单位或维保单位拒绝监督抽查</w:t>
      </w:r>
      <w:r>
        <w:rPr>
          <w:rFonts w:hint="eastAsia" w:ascii="仿宋_GB2312" w:eastAsia="仿宋_GB2312"/>
          <w:color w:val="auto"/>
          <w:sz w:val="32"/>
          <w:szCs w:val="32"/>
          <w:highlight w:val="none"/>
        </w:rPr>
        <w:t>，</w:t>
      </w:r>
      <w:r>
        <w:rPr>
          <w:rFonts w:ascii="仿宋_GB2312" w:eastAsia="仿宋_GB2312"/>
          <w:color w:val="auto"/>
          <w:sz w:val="32"/>
          <w:szCs w:val="32"/>
          <w:highlight w:val="none"/>
        </w:rPr>
        <w:t>或不当</w:t>
      </w:r>
      <w:r>
        <w:rPr>
          <w:rFonts w:hint="eastAsia" w:ascii="仿宋_GB2312" w:eastAsia="仿宋_GB2312"/>
          <w:color w:val="auto"/>
          <w:sz w:val="32"/>
          <w:szCs w:val="32"/>
          <w:highlight w:val="none"/>
        </w:rPr>
        <w:t>场</w:t>
      </w:r>
      <w:r>
        <w:rPr>
          <w:rFonts w:ascii="仿宋_GB2312" w:eastAsia="仿宋_GB2312"/>
          <w:color w:val="auto"/>
          <w:sz w:val="32"/>
          <w:szCs w:val="32"/>
          <w:highlight w:val="none"/>
        </w:rPr>
        <w:t>申诉但又拒绝签收《</w:t>
      </w:r>
      <w:r>
        <w:rPr>
          <w:rFonts w:hint="eastAsia" w:ascii="仿宋_GB2312" w:eastAsia="仿宋_GB2312"/>
          <w:color w:val="auto"/>
          <w:sz w:val="32"/>
          <w:szCs w:val="32"/>
          <w:highlight w:val="none"/>
        </w:rPr>
        <w:t>抽查通知</w:t>
      </w:r>
      <w:r>
        <w:rPr>
          <w:rFonts w:ascii="仿宋_GB2312" w:eastAsia="仿宋_GB2312"/>
          <w:color w:val="auto"/>
          <w:sz w:val="32"/>
          <w:szCs w:val="32"/>
          <w:highlight w:val="none"/>
        </w:rPr>
        <w:t>书》</w:t>
      </w:r>
      <w:r>
        <w:rPr>
          <w:rFonts w:hint="eastAsia" w:ascii="仿宋_GB2312" w:eastAsia="仿宋_GB2312"/>
          <w:color w:val="auto"/>
          <w:sz w:val="32"/>
          <w:szCs w:val="32"/>
          <w:highlight w:val="none"/>
        </w:rPr>
        <w:t>的</w:t>
      </w:r>
      <w:r>
        <w:rPr>
          <w:rFonts w:ascii="仿宋_GB2312" w:eastAsia="仿宋_GB2312"/>
          <w:color w:val="auto"/>
          <w:sz w:val="32"/>
          <w:szCs w:val="32"/>
          <w:highlight w:val="none"/>
        </w:rPr>
        <w:t>，由</w:t>
      </w:r>
      <w:r>
        <w:rPr>
          <w:rFonts w:hint="eastAsia" w:ascii="仿宋_GB2312" w:eastAsia="仿宋_GB2312"/>
          <w:color w:val="auto"/>
          <w:sz w:val="32"/>
          <w:szCs w:val="32"/>
          <w:highlight w:val="none"/>
        </w:rPr>
        <w:t>监督抽查检验机构</w:t>
      </w:r>
      <w:r>
        <w:rPr>
          <w:rFonts w:ascii="仿宋_GB2312" w:eastAsia="仿宋_GB2312"/>
          <w:color w:val="auto"/>
          <w:sz w:val="32"/>
          <w:szCs w:val="32"/>
          <w:highlight w:val="none"/>
        </w:rPr>
        <w:t>联系辖</w:t>
      </w:r>
      <w:r>
        <w:rPr>
          <w:rFonts w:hint="eastAsia" w:ascii="仿宋_GB2312" w:eastAsia="仿宋_GB2312"/>
          <w:color w:val="auto"/>
          <w:sz w:val="32"/>
          <w:szCs w:val="32"/>
          <w:highlight w:val="none"/>
        </w:rPr>
        <w:t>区</w:t>
      </w:r>
      <w:r>
        <w:rPr>
          <w:rFonts w:ascii="仿宋_GB2312" w:eastAsia="仿宋_GB2312"/>
          <w:color w:val="auto"/>
          <w:sz w:val="32"/>
          <w:szCs w:val="32"/>
          <w:highlight w:val="none"/>
        </w:rPr>
        <w:t>局到</w:t>
      </w:r>
      <w:r>
        <w:rPr>
          <w:rFonts w:hint="eastAsia" w:ascii="仿宋_GB2312" w:eastAsia="仿宋_GB2312"/>
          <w:color w:val="auto"/>
          <w:sz w:val="32"/>
          <w:szCs w:val="32"/>
          <w:highlight w:val="none"/>
        </w:rPr>
        <w:t>场</w:t>
      </w:r>
      <w:r>
        <w:rPr>
          <w:rFonts w:ascii="仿宋_GB2312" w:eastAsia="仿宋_GB2312"/>
          <w:color w:val="auto"/>
          <w:sz w:val="32"/>
          <w:szCs w:val="32"/>
          <w:highlight w:val="none"/>
        </w:rPr>
        <w:t>协调解决。使用</w:t>
      </w:r>
      <w:r>
        <w:rPr>
          <w:rFonts w:hint="eastAsia" w:ascii="仿宋_GB2312" w:eastAsia="仿宋_GB2312"/>
          <w:color w:val="auto"/>
          <w:sz w:val="32"/>
          <w:szCs w:val="32"/>
          <w:highlight w:val="none"/>
        </w:rPr>
        <w:t>单位</w:t>
      </w:r>
      <w:r>
        <w:rPr>
          <w:rFonts w:ascii="仿宋_GB2312" w:eastAsia="仿宋_GB2312"/>
          <w:color w:val="auto"/>
          <w:sz w:val="32"/>
          <w:szCs w:val="32"/>
          <w:highlight w:val="none"/>
        </w:rPr>
        <w:t>或维保单位无正当理由</w:t>
      </w:r>
      <w:r>
        <w:rPr>
          <w:rFonts w:hint="eastAsia" w:ascii="仿宋_GB2312" w:eastAsia="仿宋_GB2312"/>
          <w:color w:val="auto"/>
          <w:sz w:val="32"/>
          <w:szCs w:val="32"/>
          <w:highlight w:val="none"/>
        </w:rPr>
        <w:t>仍</w:t>
      </w:r>
      <w:r>
        <w:rPr>
          <w:rFonts w:ascii="仿宋_GB2312" w:eastAsia="仿宋_GB2312"/>
          <w:color w:val="auto"/>
          <w:sz w:val="32"/>
          <w:szCs w:val="32"/>
          <w:highlight w:val="none"/>
        </w:rPr>
        <w:t>拒绝</w:t>
      </w:r>
      <w:r>
        <w:rPr>
          <w:rFonts w:hint="eastAsia" w:ascii="仿宋_GB2312" w:eastAsia="仿宋_GB2312"/>
          <w:color w:val="auto"/>
          <w:sz w:val="32"/>
          <w:szCs w:val="32"/>
          <w:highlight w:val="none"/>
        </w:rPr>
        <w:t>配合的</w:t>
      </w:r>
      <w:r>
        <w:rPr>
          <w:rFonts w:ascii="仿宋_GB2312" w:eastAsia="仿宋_GB2312"/>
          <w:color w:val="auto"/>
          <w:sz w:val="32"/>
          <w:szCs w:val="32"/>
          <w:highlight w:val="none"/>
        </w:rPr>
        <w:t>，由辖区局</w:t>
      </w:r>
      <w:r>
        <w:rPr>
          <w:rFonts w:hint="eastAsia" w:ascii="仿宋_GB2312" w:eastAsia="仿宋_GB2312"/>
          <w:color w:val="auto"/>
          <w:sz w:val="32"/>
          <w:szCs w:val="32"/>
          <w:highlight w:val="none"/>
        </w:rPr>
        <w:t>依据</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中华人民共和国特种</w:t>
      </w:r>
      <w:r>
        <w:rPr>
          <w:rFonts w:ascii="仿宋_GB2312" w:eastAsia="仿宋_GB2312"/>
          <w:color w:val="auto"/>
          <w:sz w:val="32"/>
          <w:szCs w:val="32"/>
          <w:highlight w:val="none"/>
        </w:rPr>
        <w:t>设备安全法》</w:t>
      </w:r>
      <w:r>
        <w:rPr>
          <w:rFonts w:hint="eastAsia" w:ascii="仿宋_GB2312" w:eastAsia="仿宋_GB2312"/>
          <w:color w:val="auto"/>
          <w:sz w:val="32"/>
          <w:szCs w:val="32"/>
          <w:highlight w:val="none"/>
        </w:rPr>
        <w:t>第</w:t>
      </w:r>
      <w:r>
        <w:rPr>
          <w:rFonts w:ascii="仿宋_GB2312" w:eastAsia="仿宋_GB2312"/>
          <w:color w:val="auto"/>
          <w:sz w:val="32"/>
          <w:szCs w:val="32"/>
          <w:highlight w:val="none"/>
        </w:rPr>
        <w:t>九十五条规定</w:t>
      </w:r>
      <w:r>
        <w:rPr>
          <w:rFonts w:hint="eastAsia" w:ascii="仿宋_GB2312" w:eastAsia="仿宋_GB2312"/>
          <w:color w:val="auto"/>
          <w:sz w:val="32"/>
          <w:szCs w:val="32"/>
          <w:highlight w:val="none"/>
        </w:rPr>
        <w:t>处理</w:t>
      </w:r>
      <w:r>
        <w:rPr>
          <w:rFonts w:ascii="仿宋_GB2312" w:eastAsia="仿宋_GB2312"/>
          <w:color w:val="auto"/>
          <w:sz w:val="32"/>
          <w:szCs w:val="32"/>
          <w:highlight w:val="none"/>
        </w:rPr>
        <w:t>。</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被抽查单位应落实现场安全防护，抽查人员应严格按照规定项目和要求开展现场检验工作通过拍照</w:t>
      </w:r>
      <w:r>
        <w:rPr>
          <w:rFonts w:hint="eastAsia" w:ascii="仿宋_GB2312" w:hAnsi="仿宋_GB2312" w:eastAsia="仿宋_GB2312" w:cs="仿宋_GB2312"/>
          <w:color w:val="auto"/>
          <w:sz w:val="32"/>
          <w:szCs w:val="40"/>
          <w:highlight w:val="none"/>
        </w:rPr>
        <w:t>或视频对</w:t>
      </w:r>
      <w:r>
        <w:rPr>
          <w:rFonts w:hint="eastAsia" w:ascii="仿宋_GB2312" w:eastAsia="仿宋_GB2312"/>
          <w:color w:val="auto"/>
          <w:sz w:val="32"/>
          <w:szCs w:val="32"/>
          <w:highlight w:val="none"/>
        </w:rPr>
        <w:t>不合格项目进行证据固定，对</w:t>
      </w:r>
      <w:r>
        <w:rPr>
          <w:rFonts w:hint="eastAsia" w:ascii="仿宋_GB2312" w:hAnsi="仿宋_GB2312" w:eastAsia="仿宋_GB2312" w:cs="仿宋_GB2312"/>
          <w:color w:val="auto"/>
          <w:sz w:val="32"/>
          <w:szCs w:val="40"/>
          <w:highlight w:val="none"/>
        </w:rPr>
        <w:t>进入监督抽查现场及实施现场监督抽查的主要工作点予以记录</w:t>
      </w:r>
      <w:r>
        <w:rPr>
          <w:rFonts w:hint="eastAsia" w:ascii="仿宋_GB2312" w:eastAsia="仿宋_GB2312"/>
          <w:color w:val="auto"/>
          <w:sz w:val="32"/>
          <w:szCs w:val="32"/>
          <w:highlight w:val="none"/>
        </w:rPr>
        <w:t>，并现场出具《监督抽查初步结果通知书》（下称《初步结果通知书》，附件3）要求被抽查的维保单位、使用单位限期整改；同时应采集汇总所抽查电梯维保单位名称、维保人员身份信息及其《特种设备作业人员证》相关信息、使用单位名称、安全管理人员身份信息及其《特种设备作业人员证》相关信息。</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现场检验结束后抽查人员应当场将各个不合格项目及整体初步判定结论等情况告知陪检人员，要求其在《初步结果通知书》签字确认并声明对检验结论没有异议，同时书面承诺不再对检验结果申请复核。如陪检人员提出异议，抽查人员应予以解答。经解答双方尚不能达成一致的，由辖区局到场协调解决。如辖区局协调解决后，陪检人员仍拒绝书面承诺放弃对检验结果申请复核，为保证电梯检验状态的一致性，由辖区局在维保单位、使用单位、抽查人员的见证下对拟申请复核的电梯查封保存，并由监督抽查检验机构抽查人员在其内部质量技术部门的监督下实施复核。</w:t>
      </w:r>
    </w:p>
    <w:p>
      <w:pPr>
        <w:spacing w:line="600" w:lineRule="atLeast"/>
        <w:ind w:firstLine="640"/>
        <w:outlineLvl w:val="1"/>
        <w:rPr>
          <w:rFonts w:ascii="仿宋" w:hAnsi="仿宋" w:eastAsia="黑体"/>
          <w:bCs/>
          <w:color w:val="auto"/>
          <w:sz w:val="32"/>
          <w:szCs w:val="32"/>
          <w:highlight w:val="none"/>
        </w:rPr>
      </w:pPr>
      <w:r>
        <w:rPr>
          <w:rFonts w:hint="eastAsia" w:ascii="仿宋" w:hAnsi="仿宋" w:eastAsia="黑体"/>
          <w:bCs/>
          <w:color w:val="auto"/>
          <w:sz w:val="32"/>
          <w:szCs w:val="32"/>
          <w:highlight w:val="none"/>
        </w:rPr>
        <w:t>四、监督抽查后处理</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（一）隐患和问题报送</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1.监督抽查检验机构发现电梯存在严重隐患或重大问题的，应填写《特种设备重大问题报告单》（下称《报告单》，附件4），在24小时内通过特种设备隐患上报系统报送辖区局。《报告单》对不合格项、严重隐患和重大问题的文字表述应与《初步结果通知书》一致。</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2.对判定不合格的电梯，监督抽查检验机构应在监督抽查现场检验结束次日起24小时内通过电子信息渠道内将《抽查通知书》、《初步结果通知书》等证据材料报送电梯安装地辖区局。</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3.对判定为维保质量不合格的维保单位，监督抽查检验机构应在监督抽查工作结束后10个工作日内将《电梯维保质量不合格维保单位报告单》（附件5）报送市市场监管局特设处。</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4.对维保质量监督抽查不合格率达到10%以上的维保单位，监督抽查检验机构应在监督抽查工作结束后10个工作日内将《电梯维保质量监督抽查不合格率达到10%以上的维保单位报告单》（附件6）报送市市场监管局特设处。</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（二）隐患处置</w:t>
      </w:r>
    </w:p>
    <w:p>
      <w:pPr>
        <w:spacing w:line="600" w:lineRule="atLeast"/>
        <w:ind w:firstLine="640"/>
        <w:rPr>
          <w:rFonts w:ascii="仿宋_GB2312" w:hAnsi="仿宋_GB2312" w:eastAsia="仿宋_GB2312" w:cs="仿宋_GB2312"/>
          <w:color w:val="auto"/>
          <w:sz w:val="32"/>
          <w:szCs w:val="40"/>
          <w:highlight w:val="none"/>
        </w:rPr>
      </w:pPr>
      <w:r>
        <w:rPr>
          <w:rFonts w:hint="eastAsia" w:ascii="仿宋_GB2312" w:hAnsi="仿宋_GB2312" w:eastAsia="仿宋_GB2312" w:cs="仿宋_GB2312"/>
          <w:color w:val="auto"/>
          <w:sz w:val="32"/>
          <w:szCs w:val="40"/>
          <w:highlight w:val="none"/>
        </w:rPr>
        <w:t>抽查人员发现电梯存在严重隐患和重大问题的，在通过《初步结果通知书》告知被抽查单位“立即停止使用”意见的同时，要求被抽查单位采取适当措施对设备进行封停，如在电梯主电源处作拉闸、张贴封条的措施等；抽查人员还应拍照，以固化该封停措施。如使用单位提出异议，抽查人员应联系辖区局到场协调解决。</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对判定为不合格或存在其它严重事故隐患，且可能发生人身伤害危险的，辖区局接到报送材料后应在1个工作日内予以紧急封停。对存在其它严重事故隐患或重大问题的电梯，辖区局接到报送材料后应在5个工作日内进行检查，视情况依法实施查封、扣押。同时应下达特种设备安全监察指令责令限期改正，责令整改期限原则上不超过15天。</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经封停或查封、扣押的电梯可凭整改申请由辖区局决定解封必要部位进行整改，但不得投入正常使用。经监督抽查检验机构出具检验合格的《初步结果通知书》后电梯方可投入正常使用。</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（三）违法行为查处</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1.对继续使用经监督抽查不合格（维护保养记录与标志不合格除外）或存在严重隐患或重大问题电梯的使用单位，由电梯安装地辖区局根据《中华人民共和国特种设备安全法》第八十四条予以立案处罚。对继续使用维护保养记录与标志不合格</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2.对维保质量监督抽查不合格的维保单位，由市市场监管局指定相关辖区局依据《深圳经济特区特种设备安全条例》第八十条规定予以立案处罚。</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3.对维保质量监督抽查不合格率达到10%以上的维保单位，由市市场监管局指定相关辖区局</w:t>
      </w:r>
      <w:r>
        <w:rPr>
          <w:rFonts w:hint="eastAsia" w:ascii="仿宋_GB2312" w:eastAsia="仿宋_GB2312"/>
          <w:color w:val="auto"/>
          <w:sz w:val="32"/>
          <w:szCs w:val="32"/>
          <w:highlight w:val="none"/>
          <w:lang w:eastAsia="zh-CN"/>
        </w:rPr>
        <w:t>进行约谈</w:t>
      </w:r>
      <w:r>
        <w:rPr>
          <w:rFonts w:hint="eastAsia" w:ascii="仿宋_GB2312" w:eastAsia="仿宋_GB2312"/>
          <w:color w:val="auto"/>
          <w:sz w:val="32"/>
          <w:szCs w:val="32"/>
          <w:highlight w:val="none"/>
        </w:rPr>
        <w:t>。</w:t>
      </w:r>
    </w:p>
    <w:p>
      <w:pPr>
        <w:spacing w:line="600" w:lineRule="atLeast"/>
        <w:ind w:firstLine="643"/>
        <w:rPr>
          <w:rFonts w:ascii="仿宋" w:hAnsi="仿宋" w:eastAsia="楷体_GB2312"/>
          <w:b/>
          <w:color w:val="auto"/>
          <w:sz w:val="32"/>
          <w:szCs w:val="22"/>
          <w:highlight w:val="none"/>
        </w:rPr>
      </w:pPr>
      <w:r>
        <w:rPr>
          <w:rFonts w:hint="eastAsia" w:ascii="仿宋" w:hAnsi="仿宋" w:eastAsia="楷体_GB2312"/>
          <w:b/>
          <w:color w:val="auto"/>
          <w:sz w:val="32"/>
          <w:szCs w:val="22"/>
          <w:highlight w:val="none"/>
        </w:rPr>
        <w:t>（四）总结报送和结果公告</w:t>
      </w:r>
    </w:p>
    <w:p>
      <w:pPr>
        <w:spacing w:line="600" w:lineRule="atLeas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监督抽查检验机构应在10月底前完成监督抽查工作并将监督抽查结果分析报告报送市市场监管局特设处。特设处在2个月内将监督抽查结果在市市场监管局网站或媒体上进行公告。</w:t>
      </w:r>
    </w:p>
    <w:p>
      <w:pPr>
        <w:spacing w:line="600" w:lineRule="atLeast"/>
        <w:ind w:firstLine="640"/>
        <w:rPr>
          <w:rFonts w:ascii="仿宋_GB2312" w:eastAsia="仿宋_GB2312"/>
          <w:color w:val="auto"/>
          <w:sz w:val="32"/>
          <w:szCs w:val="32"/>
          <w:highlight w:val="none"/>
        </w:rPr>
      </w:pPr>
    </w:p>
    <w:p>
      <w:pPr>
        <w:spacing w:line="600" w:lineRule="atLeast"/>
        <w:ind w:left="2096" w:leftChars="303" w:hanging="1460"/>
        <w:rPr>
          <w:rFonts w:ascii="仿宋_GB2312" w:eastAsia="仿宋_GB2312"/>
          <w:color w:val="auto"/>
          <w:sz w:val="32"/>
          <w:szCs w:val="32"/>
          <w:highlight w:val="none"/>
        </w:rPr>
      </w:pPr>
      <w:r>
        <w:rPr>
          <w:rFonts w:hint="eastAsia" w:ascii="仿宋_GB2312" w:eastAsia="仿宋_GB2312"/>
          <w:color w:val="auto"/>
          <w:sz w:val="32"/>
          <w:szCs w:val="32"/>
          <w:highlight w:val="none"/>
        </w:rPr>
        <w:t>附件:1 《</w:t>
      </w:r>
      <w:r>
        <w:rPr>
          <w:rFonts w:ascii="仿宋_GB2312" w:eastAsia="仿宋_GB2312"/>
          <w:color w:val="auto"/>
          <w:sz w:val="32"/>
          <w:szCs w:val="32"/>
          <w:highlight w:val="none"/>
        </w:rPr>
        <w:t>深圳市</w:t>
      </w:r>
      <w:r>
        <w:rPr>
          <w:rFonts w:hint="eastAsia" w:ascii="仿宋_GB2312" w:eastAsia="仿宋_GB2312"/>
          <w:color w:val="auto"/>
          <w:sz w:val="32"/>
          <w:szCs w:val="32"/>
          <w:highlight w:val="none"/>
        </w:rPr>
        <w:t>2022年</w:t>
      </w:r>
      <w:r>
        <w:rPr>
          <w:rFonts w:ascii="仿宋_GB2312" w:eastAsia="仿宋_GB2312"/>
          <w:color w:val="auto"/>
          <w:sz w:val="32"/>
          <w:szCs w:val="32"/>
          <w:highlight w:val="none"/>
        </w:rPr>
        <w:t>电梯</w:t>
      </w:r>
      <w:r>
        <w:rPr>
          <w:rFonts w:hint="eastAsia" w:ascii="仿宋_GB2312" w:eastAsia="仿宋_GB2312"/>
          <w:color w:val="auto"/>
          <w:sz w:val="32"/>
          <w:szCs w:val="32"/>
          <w:highlight w:val="none"/>
        </w:rPr>
        <w:t>维护保养</w:t>
      </w:r>
      <w:r>
        <w:rPr>
          <w:rFonts w:ascii="仿宋_GB2312" w:eastAsia="仿宋_GB2312"/>
          <w:color w:val="auto"/>
          <w:sz w:val="32"/>
          <w:szCs w:val="32"/>
          <w:highlight w:val="none"/>
        </w:rPr>
        <w:t>质量监督抽查项目</w:t>
      </w:r>
      <w:r>
        <w:rPr>
          <w:rFonts w:hint="eastAsia" w:ascii="仿宋_GB2312" w:eastAsia="仿宋_GB2312"/>
          <w:color w:val="auto"/>
          <w:sz w:val="32"/>
          <w:szCs w:val="32"/>
          <w:highlight w:val="none"/>
        </w:rPr>
        <w:t>》</w:t>
      </w:r>
    </w:p>
    <w:p>
      <w:pPr>
        <w:spacing w:line="600" w:lineRule="atLeast"/>
        <w:ind w:firstLine="1440" w:firstLineChars="45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 xml:space="preserve"> 《</w:t>
      </w:r>
      <w:r>
        <w:rPr>
          <w:rFonts w:ascii="仿宋_GB2312" w:eastAsia="仿宋_GB2312"/>
          <w:color w:val="auto"/>
          <w:sz w:val="32"/>
          <w:szCs w:val="32"/>
          <w:highlight w:val="none"/>
        </w:rPr>
        <w:t>深圳市电梯</w:t>
      </w:r>
      <w:r>
        <w:rPr>
          <w:rFonts w:hint="eastAsia" w:ascii="仿宋_GB2312" w:eastAsia="仿宋_GB2312"/>
          <w:color w:val="auto"/>
          <w:sz w:val="32"/>
          <w:szCs w:val="32"/>
          <w:highlight w:val="none"/>
        </w:rPr>
        <w:t>维护</w:t>
      </w:r>
      <w:r>
        <w:rPr>
          <w:rFonts w:ascii="仿宋_GB2312" w:eastAsia="仿宋_GB2312"/>
          <w:color w:val="auto"/>
          <w:sz w:val="32"/>
          <w:szCs w:val="32"/>
          <w:highlight w:val="none"/>
        </w:rPr>
        <w:t>保养质量监督抽查通知单</w:t>
      </w:r>
      <w:r>
        <w:rPr>
          <w:rFonts w:hint="eastAsia" w:ascii="仿宋_GB2312" w:eastAsia="仿宋_GB2312"/>
          <w:color w:val="auto"/>
          <w:sz w:val="32"/>
          <w:szCs w:val="32"/>
          <w:highlight w:val="none"/>
        </w:rPr>
        <w:t>》</w:t>
      </w:r>
      <w:r>
        <w:rPr>
          <w:rFonts w:ascii="仿宋_GB2312" w:eastAsia="仿宋_GB2312"/>
          <w:color w:val="auto"/>
          <w:sz w:val="32"/>
          <w:szCs w:val="32"/>
          <w:highlight w:val="none"/>
        </w:rPr>
        <w:t xml:space="preserve"> </w:t>
      </w:r>
    </w:p>
    <w:p>
      <w:pPr>
        <w:spacing w:line="600" w:lineRule="atLeast"/>
        <w:ind w:firstLine="1440" w:firstLineChars="450"/>
        <w:rPr>
          <w:rFonts w:ascii="仿宋_GB2312" w:eastAsia="仿宋_GB2312"/>
          <w:color w:val="auto"/>
          <w:sz w:val="32"/>
          <w:szCs w:val="32"/>
          <w:highlight w:val="none"/>
        </w:rPr>
      </w:pPr>
      <w:r>
        <w:rPr>
          <w:rFonts w:hint="eastAsia" w:ascii="仿宋_GB2312" w:eastAsia="仿宋_GB2312"/>
          <w:color w:val="auto"/>
          <w:sz w:val="32"/>
          <w:szCs w:val="32"/>
          <w:highlight w:val="none"/>
        </w:rPr>
        <w:t>3 《</w:t>
      </w:r>
      <w:r>
        <w:rPr>
          <w:rFonts w:ascii="仿宋_GB2312" w:eastAsia="仿宋_GB2312"/>
          <w:color w:val="auto"/>
          <w:sz w:val="32"/>
          <w:szCs w:val="32"/>
          <w:highlight w:val="none"/>
        </w:rPr>
        <w:t>监督抽查初步结果通知书</w:t>
      </w:r>
      <w:r>
        <w:rPr>
          <w:rFonts w:hint="eastAsia" w:ascii="仿宋_GB2312" w:eastAsia="仿宋_GB2312"/>
          <w:color w:val="auto"/>
          <w:sz w:val="32"/>
          <w:szCs w:val="32"/>
          <w:highlight w:val="none"/>
        </w:rPr>
        <w:t>》</w:t>
      </w:r>
    </w:p>
    <w:p>
      <w:pPr>
        <w:spacing w:line="600" w:lineRule="atLeast"/>
        <w:ind w:firstLine="1440" w:firstLineChars="450"/>
        <w:rPr>
          <w:rFonts w:ascii="仿宋_GB2312" w:eastAsia="仿宋_GB2312"/>
          <w:color w:val="auto"/>
          <w:sz w:val="32"/>
          <w:szCs w:val="32"/>
          <w:highlight w:val="none"/>
        </w:rPr>
      </w:pPr>
      <w:r>
        <w:rPr>
          <w:rFonts w:hint="eastAsia" w:ascii="仿宋_GB2312" w:eastAsia="仿宋_GB2312"/>
          <w:color w:val="auto"/>
          <w:sz w:val="32"/>
          <w:szCs w:val="32"/>
          <w:highlight w:val="none"/>
        </w:rPr>
        <w:t>4 《</w:t>
      </w:r>
      <w:r>
        <w:rPr>
          <w:rFonts w:ascii="仿宋_GB2312" w:eastAsia="仿宋_GB2312"/>
          <w:color w:val="auto"/>
          <w:sz w:val="32"/>
          <w:szCs w:val="32"/>
          <w:highlight w:val="none"/>
        </w:rPr>
        <w:t>特种设备重大问题报告单</w:t>
      </w:r>
      <w:r>
        <w:rPr>
          <w:rFonts w:hint="eastAsia" w:ascii="仿宋_GB2312" w:eastAsia="仿宋_GB2312"/>
          <w:color w:val="auto"/>
          <w:sz w:val="32"/>
          <w:szCs w:val="32"/>
          <w:highlight w:val="none"/>
        </w:rPr>
        <w:t>》</w:t>
      </w:r>
    </w:p>
    <w:p>
      <w:pPr>
        <w:spacing w:line="600" w:lineRule="atLeast"/>
        <w:ind w:left="2087" w:leftChars="700" w:hanging="617" w:hangingChars="193"/>
        <w:rPr>
          <w:rFonts w:ascii="仿宋_GB2312" w:eastAsia="仿宋_GB2312"/>
          <w:color w:val="auto"/>
          <w:sz w:val="32"/>
          <w:szCs w:val="32"/>
          <w:highlight w:val="none"/>
        </w:rPr>
      </w:pPr>
      <w:r>
        <w:rPr>
          <w:rFonts w:hint="eastAsia" w:ascii="仿宋_GB2312" w:eastAsia="仿宋_GB2312"/>
          <w:color w:val="auto"/>
          <w:sz w:val="32"/>
          <w:szCs w:val="32"/>
          <w:highlight w:val="none"/>
        </w:rPr>
        <w:t>5 《</w:t>
      </w:r>
      <w:r>
        <w:rPr>
          <w:rFonts w:ascii="仿宋_GB2312" w:eastAsia="仿宋_GB2312"/>
          <w:color w:val="auto"/>
          <w:sz w:val="32"/>
          <w:szCs w:val="32"/>
          <w:highlight w:val="none"/>
        </w:rPr>
        <w:t>深圳市电梯</w:t>
      </w:r>
      <w:r>
        <w:rPr>
          <w:rFonts w:hint="eastAsia" w:ascii="仿宋_GB2312" w:eastAsia="仿宋_GB2312"/>
          <w:color w:val="auto"/>
          <w:sz w:val="32"/>
          <w:szCs w:val="32"/>
          <w:highlight w:val="none"/>
        </w:rPr>
        <w:t>维护保养</w:t>
      </w:r>
      <w:r>
        <w:rPr>
          <w:rFonts w:ascii="仿宋_GB2312" w:eastAsia="仿宋_GB2312"/>
          <w:color w:val="auto"/>
          <w:sz w:val="32"/>
          <w:szCs w:val="32"/>
          <w:highlight w:val="none"/>
        </w:rPr>
        <w:t>质量不合格维保单位报告单</w:t>
      </w:r>
      <w:r>
        <w:rPr>
          <w:rFonts w:hint="eastAsia" w:ascii="仿宋_GB2312" w:eastAsia="仿宋_GB2312"/>
          <w:color w:val="auto"/>
          <w:sz w:val="32"/>
          <w:szCs w:val="32"/>
          <w:highlight w:val="none"/>
        </w:rPr>
        <w:t>》</w:t>
      </w:r>
    </w:p>
    <w:p>
      <w:pPr>
        <w:ind w:left="2096" w:leftChars="703" w:hanging="620" w:hangingChars="194"/>
        <w:rPr>
          <w:color w:val="auto"/>
          <w:highlight w:val="none"/>
        </w:rPr>
      </w:pPr>
      <w:r>
        <w:rPr>
          <w:rFonts w:hint="eastAsia" w:ascii="仿宋_GB2312" w:eastAsia="仿宋_GB2312"/>
          <w:color w:val="auto"/>
          <w:sz w:val="32"/>
          <w:szCs w:val="32"/>
          <w:highlight w:val="none"/>
        </w:rPr>
        <w:t>6 《</w:t>
      </w:r>
      <w:r>
        <w:rPr>
          <w:rFonts w:ascii="仿宋_GB2312" w:eastAsia="仿宋_GB2312"/>
          <w:color w:val="auto"/>
          <w:sz w:val="32"/>
          <w:szCs w:val="32"/>
          <w:highlight w:val="none"/>
        </w:rPr>
        <w:t>深圳市电梯维保质量不合格达10%以上维保单位报告单</w:t>
      </w:r>
      <w:r>
        <w:rPr>
          <w:rFonts w:hint="eastAsia" w:ascii="仿宋_GB2312" w:eastAsia="仿宋_GB2312"/>
          <w:color w:val="auto"/>
          <w:sz w:val="32"/>
          <w:szCs w:val="32"/>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0"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楷体_GB2312">
    <w:altName w:val="方正楷体_GBK"/>
    <w:panose1 w:val="00000000000000000000"/>
    <w:charset w:val="86"/>
    <w:family w:val="auto"/>
    <w:pitch w:val="default"/>
    <w:sig w:usb0="00000000" w:usb1="00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6F21D7"/>
    <w:multiLevelType w:val="multilevel"/>
    <w:tmpl w:val="656F21D7"/>
    <w:lvl w:ilvl="0" w:tentative="0">
      <w:start w:val="3"/>
      <w:numFmt w:val="japaneseCounting"/>
      <w:lvlText w:val="%1、"/>
      <w:lvlJc w:val="left"/>
      <w:pPr>
        <w:ind w:left="1429"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1C"/>
    <w:rsid w:val="002306A9"/>
    <w:rsid w:val="00577C5F"/>
    <w:rsid w:val="005E3C05"/>
    <w:rsid w:val="006E0562"/>
    <w:rsid w:val="0074691C"/>
    <w:rsid w:val="007B4349"/>
    <w:rsid w:val="00AD119F"/>
    <w:rsid w:val="00B93D4D"/>
    <w:rsid w:val="2ACA3CFD"/>
    <w:rsid w:val="2BFE315B"/>
    <w:rsid w:val="43E78544"/>
    <w:rsid w:val="AA4AC587"/>
    <w:rsid w:val="ADFE0951"/>
    <w:rsid w:val="AF1F2A93"/>
    <w:rsid w:val="DFBF3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方正小标宋简体" w:cstheme="maj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rPr>
      <w:rFonts w:ascii="Times New Roman" w:hAnsi="Times New Roman" w:eastAsia="宋体" w:cs="Times New Roman"/>
    </w:rPr>
  </w:style>
  <w:style w:type="paragraph" w:styleId="3">
    <w:name w:val="Balloon Text"/>
    <w:basedOn w:val="1"/>
    <w:link w:val="14"/>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qFormat/>
    <w:uiPriority w:val="0"/>
    <w:pPr>
      <w:spacing w:line="560" w:lineRule="exact"/>
      <w:outlineLvl w:val="1"/>
    </w:pPr>
    <w:rPr>
      <w:rFonts w:ascii="仿宋" w:hAnsi="仿宋" w:eastAsia="黑体"/>
      <w:bCs/>
      <w:color w:val="000000"/>
      <w:sz w:val="32"/>
      <w:szCs w:val="32"/>
    </w:rPr>
  </w:style>
  <w:style w:type="character" w:styleId="9">
    <w:name w:val="annotation reference"/>
    <w:basedOn w:val="8"/>
    <w:unhideWhenUsed/>
    <w:qFormat/>
    <w:uiPriority w:val="99"/>
    <w:rPr>
      <w:sz w:val="21"/>
      <w:szCs w:val="21"/>
    </w:rPr>
  </w:style>
  <w:style w:type="paragraph" w:customStyle="1" w:styleId="10">
    <w:name w:val="公文正文"/>
    <w:basedOn w:val="1"/>
    <w:qFormat/>
    <w:uiPriority w:val="0"/>
    <w:pPr>
      <w:ind w:firstLine="640"/>
    </w:pPr>
    <w:rPr>
      <w:rFonts w:ascii="仿宋_GB2312" w:eastAsia="仿宋_GB2312"/>
      <w:sz w:val="32"/>
      <w:szCs w:val="32"/>
    </w:rPr>
  </w:style>
  <w:style w:type="character" w:customStyle="1" w:styleId="11">
    <w:name w:val="页眉 Char"/>
    <w:basedOn w:val="8"/>
    <w:link w:val="5"/>
    <w:qFormat/>
    <w:uiPriority w:val="0"/>
    <w:rPr>
      <w:rFonts w:asciiTheme="minorHAnsi" w:hAnsiTheme="minorHAnsi" w:eastAsiaTheme="minorEastAsia" w:cstheme="minorBidi"/>
      <w:kern w:val="2"/>
      <w:sz w:val="18"/>
      <w:szCs w:val="18"/>
    </w:rPr>
  </w:style>
  <w:style w:type="character" w:customStyle="1" w:styleId="12">
    <w:name w:val="页脚 Char"/>
    <w:basedOn w:val="8"/>
    <w:link w:val="4"/>
    <w:qFormat/>
    <w:uiPriority w:val="0"/>
    <w:rPr>
      <w:rFonts w:asciiTheme="minorHAnsi" w:hAnsiTheme="minorHAnsi" w:eastAsiaTheme="minorEastAsia" w:cstheme="minorBidi"/>
      <w:kern w:val="2"/>
      <w:sz w:val="18"/>
      <w:szCs w:val="18"/>
    </w:rPr>
  </w:style>
  <w:style w:type="character" w:customStyle="1" w:styleId="13">
    <w:name w:val="批注文字 Char"/>
    <w:basedOn w:val="8"/>
    <w:link w:val="2"/>
    <w:qFormat/>
    <w:uiPriority w:val="99"/>
    <w:rPr>
      <w:rFonts w:ascii="Times New Roman" w:hAnsi="Times New Roman" w:eastAsia="宋体" w:cs="Times New Roman"/>
      <w:kern w:val="2"/>
      <w:sz w:val="21"/>
      <w:szCs w:val="24"/>
    </w:rPr>
  </w:style>
  <w:style w:type="character" w:customStyle="1" w:styleId="14">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447</Words>
  <Characters>2554</Characters>
  <Lines>21</Lines>
  <Paragraphs>5</Paragraphs>
  <TotalTime>56</TotalTime>
  <ScaleCrop>false</ScaleCrop>
  <LinksUpToDate>false</LinksUpToDate>
  <CharactersWithSpaces>2996</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2021-09-01T07:48:00Z</dcterms:created>
  <dc:creator>lixiang</dc:creator>
  <cp:lastModifiedBy>詹丰</cp:lastModifiedBy>
  <dcterms:modified xsi:type="dcterms:W3CDTF">2024-01-19T17:03:54Z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