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附件</w:t>
      </w:r>
      <w:r>
        <w:rPr>
          <w:rFonts w:hint="eastAsia" w:ascii="仿宋_GB2312" w:hAnsi="仿宋_GB2312" w:eastAsia="仿宋_GB2312" w:cs="仿宋_GB2312"/>
          <w:sz w:val="32"/>
          <w:szCs w:val="40"/>
          <w:lang w:val="en-US" w:eastAsia="zh-CN"/>
        </w:rPr>
        <w:t>1</w:t>
      </w:r>
      <w:r>
        <w:rPr>
          <w:rFonts w:hint="eastAsia" w:ascii="仿宋_GB2312" w:hAnsi="仿宋_GB2312" w:eastAsia="仿宋_GB2312" w:cs="仿宋_GB2312"/>
          <w:sz w:val="32"/>
          <w:szCs w:val="40"/>
        </w:rPr>
        <w:t>.1</w:t>
      </w:r>
    </w:p>
    <w:p>
      <w:pPr>
        <w:pStyle w:val="2"/>
        <w:spacing w:before="100" w:after="90"/>
        <w:ind w:firstLine="0" w:firstLineChars="0"/>
        <w:rPr>
          <w:rFonts w:hint="eastAsia" w:ascii="宋体" w:hAnsi="宋体" w:eastAsia="宋体" w:cs="宋体"/>
          <w:b/>
          <w:bCs/>
        </w:rPr>
      </w:pPr>
      <w:r>
        <w:rPr>
          <w:rFonts w:hint="eastAsia" w:ascii="宋体" w:hAnsi="宋体" w:eastAsia="宋体" w:cs="宋体"/>
          <w:b/>
          <w:bCs/>
        </w:rPr>
        <w:t>深圳市202</w:t>
      </w:r>
      <w:r>
        <w:rPr>
          <w:rFonts w:hint="eastAsia" w:ascii="宋体" w:hAnsi="宋体" w:eastAsia="宋体" w:cs="宋体"/>
          <w:b/>
          <w:bCs/>
          <w:lang w:val="en-US" w:eastAsia="zh-CN"/>
        </w:rPr>
        <w:t>2</w:t>
      </w:r>
      <w:bookmarkStart w:id="2" w:name="_GoBack"/>
      <w:bookmarkEnd w:id="2"/>
      <w:r>
        <w:rPr>
          <w:rFonts w:hint="eastAsia" w:ascii="宋体" w:hAnsi="宋体" w:eastAsia="宋体" w:cs="宋体"/>
          <w:b/>
          <w:bCs/>
        </w:rPr>
        <w:t>年电梯维保质量监督抽查项目</w:t>
      </w:r>
    </w:p>
    <w:p>
      <w:pPr>
        <w:pStyle w:val="22"/>
        <w:numPr>
          <w:ilvl w:val="0"/>
          <w:numId w:val="1"/>
        </w:numPr>
        <w:ind w:firstLineChars="0"/>
        <w:rPr>
          <w:rFonts w:cs="宋体"/>
          <w:szCs w:val="21"/>
        </w:rPr>
      </w:pPr>
      <w:r>
        <w:rPr>
          <w:rFonts w:hint="eastAsia" w:cs="宋体"/>
          <w:szCs w:val="21"/>
        </w:rPr>
        <w:t>曳引式电梯抽查项目</w:t>
      </w:r>
    </w:p>
    <w:p>
      <w:pPr>
        <w:pStyle w:val="22"/>
        <w:ind w:left="840" w:firstLine="0" w:firstLineChars="0"/>
        <w:rPr>
          <w:rFonts w:cs="宋体"/>
          <w:szCs w:val="21"/>
        </w:rPr>
      </w:pPr>
    </w:p>
    <w:tbl>
      <w:tblPr>
        <w:tblStyle w:val="10"/>
        <w:tblW w:w="136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850"/>
        <w:gridCol w:w="5529"/>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jc w:val="center"/>
              <w:rPr>
                <w:rFonts w:cs="宋体"/>
                <w:szCs w:val="21"/>
              </w:rPr>
            </w:pPr>
            <w:r>
              <w:rPr>
                <w:rFonts w:hint="eastAsia" w:cs="宋体"/>
                <w:szCs w:val="21"/>
              </w:rPr>
              <w:t>序号</w:t>
            </w:r>
          </w:p>
        </w:tc>
        <w:tc>
          <w:tcPr>
            <w:tcW w:w="850" w:type="dxa"/>
            <w:shd w:val="clear" w:color="auto" w:fill="auto"/>
            <w:vAlign w:val="center"/>
          </w:tcPr>
          <w:p>
            <w:pPr>
              <w:jc w:val="center"/>
              <w:rPr>
                <w:rFonts w:cs="宋体"/>
                <w:szCs w:val="21"/>
              </w:rPr>
            </w:pPr>
            <w:r>
              <w:rPr>
                <w:rFonts w:hint="eastAsia" w:cs="宋体"/>
                <w:szCs w:val="21"/>
              </w:rPr>
              <w:t>项目</w:t>
            </w:r>
          </w:p>
        </w:tc>
        <w:tc>
          <w:tcPr>
            <w:tcW w:w="5529" w:type="dxa"/>
            <w:shd w:val="clear" w:color="auto" w:fill="auto"/>
            <w:vAlign w:val="center"/>
          </w:tcPr>
          <w:p>
            <w:pPr>
              <w:jc w:val="center"/>
              <w:rPr>
                <w:rFonts w:cs="宋体"/>
                <w:szCs w:val="21"/>
              </w:rPr>
            </w:pPr>
            <w:r>
              <w:rPr>
                <w:rFonts w:hint="eastAsia" w:cs="宋体"/>
                <w:szCs w:val="21"/>
              </w:rPr>
              <w:t>检验内容与要求</w:t>
            </w:r>
          </w:p>
        </w:tc>
        <w:tc>
          <w:tcPr>
            <w:tcW w:w="6662" w:type="dxa"/>
            <w:shd w:val="clear" w:color="auto" w:fill="auto"/>
            <w:vAlign w:val="center"/>
          </w:tcPr>
          <w:p>
            <w:pPr>
              <w:jc w:val="center"/>
              <w:rPr>
                <w:rFonts w:cs="宋体"/>
                <w:szCs w:val="21"/>
              </w:rPr>
            </w:pPr>
            <w:r>
              <w:rPr>
                <w:rFonts w:hint="eastAsia" w:cs="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restart"/>
            <w:shd w:val="clear" w:color="auto" w:fill="auto"/>
            <w:vAlign w:val="center"/>
          </w:tcPr>
          <w:p>
            <w:pPr>
              <w:spacing w:line="280" w:lineRule="exact"/>
              <w:jc w:val="center"/>
              <w:rPr>
                <w:rFonts w:cs="宋体"/>
                <w:szCs w:val="21"/>
              </w:rPr>
            </w:pPr>
            <w:r>
              <w:rPr>
                <w:rFonts w:hint="eastAsia" w:cs="宋体"/>
                <w:szCs w:val="21"/>
              </w:rPr>
              <w:t>1</w:t>
            </w:r>
          </w:p>
        </w:tc>
        <w:tc>
          <w:tcPr>
            <w:tcW w:w="850" w:type="dxa"/>
            <w:vMerge w:val="restart"/>
            <w:shd w:val="clear" w:color="auto" w:fill="auto"/>
            <w:vAlign w:val="center"/>
          </w:tcPr>
          <w:p>
            <w:pPr>
              <w:spacing w:line="280" w:lineRule="exact"/>
              <w:jc w:val="center"/>
              <w:rPr>
                <w:rFonts w:cs="宋体"/>
                <w:szCs w:val="21"/>
              </w:rPr>
            </w:pPr>
            <w:r>
              <w:rPr>
                <w:rFonts w:hint="eastAsia" w:cs="宋体"/>
                <w:szCs w:val="21"/>
              </w:rPr>
              <w:t>2.7</w:t>
            </w:r>
          </w:p>
          <w:p>
            <w:pPr>
              <w:spacing w:line="280" w:lineRule="exact"/>
              <w:jc w:val="center"/>
              <w:rPr>
                <w:rFonts w:cs="宋体"/>
                <w:szCs w:val="21"/>
              </w:rPr>
            </w:pPr>
            <w:r>
              <w:rPr>
                <w:rFonts w:hint="eastAsia" w:cs="宋体"/>
                <w:szCs w:val="21"/>
              </w:rPr>
              <w:t>驱动主机（B）</w:t>
            </w:r>
          </w:p>
        </w:tc>
        <w:tc>
          <w:tcPr>
            <w:tcW w:w="5529" w:type="dxa"/>
            <w:shd w:val="clear" w:color="auto" w:fill="auto"/>
          </w:tcPr>
          <w:p>
            <w:pPr>
              <w:spacing w:line="280" w:lineRule="exact"/>
              <w:rPr>
                <w:rFonts w:cs="宋体"/>
                <w:szCs w:val="21"/>
              </w:rPr>
            </w:pPr>
            <w:r>
              <w:rPr>
                <w:rFonts w:hint="eastAsia" w:cs="宋体"/>
                <w:szCs w:val="21"/>
              </w:rPr>
              <w:t>（1）制动器动作灵活，制动时制动闸瓦(制动钳)紧密、均匀地贴合在制动轮(制动盘)上，电梯运行时制动闸瓦(制动钳)与制动轮(制动盘)不发生摩擦，制动闸瓦(制动钳)以及制动轮(制动盘)工作面上没有油污。</w:t>
            </w:r>
          </w:p>
        </w:tc>
        <w:tc>
          <w:tcPr>
            <w:tcW w:w="6662" w:type="dxa"/>
            <w:shd w:val="clear" w:color="auto" w:fill="auto"/>
            <w:vAlign w:val="center"/>
          </w:tcPr>
          <w:p>
            <w:pPr>
              <w:spacing w:line="280" w:lineRule="exact"/>
              <w:rPr>
                <w:rFonts w:cs="宋体"/>
                <w:szCs w:val="21"/>
              </w:rPr>
            </w:pPr>
            <w:r>
              <w:rPr>
                <w:rFonts w:hint="eastAsia" w:cs="宋体"/>
                <w:szCs w:val="21"/>
              </w:rPr>
              <w:t>目测制动器动作情况。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shd w:val="clear" w:color="auto" w:fill="auto"/>
            <w:vAlign w:val="center"/>
          </w:tcPr>
          <w:p>
            <w:pPr>
              <w:spacing w:line="280" w:lineRule="exact"/>
              <w:jc w:val="center"/>
              <w:rPr>
                <w:rFonts w:cs="宋体"/>
                <w:szCs w:val="21"/>
              </w:rPr>
            </w:pPr>
          </w:p>
        </w:tc>
        <w:tc>
          <w:tcPr>
            <w:tcW w:w="850" w:type="dxa"/>
            <w:vMerge w:val="continue"/>
            <w:shd w:val="clear" w:color="auto" w:fill="auto"/>
            <w:vAlign w:val="center"/>
          </w:tcPr>
          <w:p>
            <w:pPr>
              <w:spacing w:line="280" w:lineRule="exact"/>
              <w:jc w:val="center"/>
              <w:rPr>
                <w:rFonts w:cs="宋体"/>
                <w:szCs w:val="21"/>
              </w:rPr>
            </w:pPr>
          </w:p>
        </w:tc>
        <w:tc>
          <w:tcPr>
            <w:tcW w:w="5529" w:type="dxa"/>
            <w:shd w:val="clear" w:color="auto" w:fill="auto"/>
          </w:tcPr>
          <w:p>
            <w:pPr>
              <w:spacing w:line="280" w:lineRule="exact"/>
              <w:rPr>
                <w:rFonts w:cs="宋体"/>
                <w:szCs w:val="21"/>
              </w:rPr>
            </w:pPr>
            <w:r>
              <w:rPr>
                <w:rFonts w:hint="eastAsia" w:cs="宋体"/>
                <w:szCs w:val="21"/>
              </w:rPr>
              <w:t>（2）手动紧急操作装置符合以下要求：</w:t>
            </w:r>
          </w:p>
          <w:p>
            <w:pPr>
              <w:spacing w:line="280" w:lineRule="exact"/>
              <w:rPr>
                <w:rFonts w:cs="宋体"/>
                <w:szCs w:val="21"/>
              </w:rPr>
            </w:pPr>
            <w:r>
              <w:rPr>
                <w:rFonts w:hint="eastAsia" w:cs="宋体"/>
                <w:szCs w:val="21"/>
              </w:rPr>
              <w:t>★①对于可拆卸盘车手轮，设有一个电气安全装置，最迟在盘车手轮装上电梯驱动主机时动作；</w:t>
            </w:r>
          </w:p>
          <w:p>
            <w:pPr>
              <w:spacing w:line="280" w:lineRule="exact"/>
              <w:rPr>
                <w:rFonts w:cs="宋体"/>
                <w:szCs w:val="21"/>
              </w:rPr>
            </w:pPr>
            <w:r>
              <w:rPr>
                <w:rFonts w:hint="eastAsia" w:cs="宋体"/>
                <w:szCs w:val="21"/>
              </w:rPr>
              <w:t>②松闸扳手涂成红色，盘车手轮是无辐条的并且涂成黄色，可拆卸盘车手轮放置在机房内容易接近的明显部位；</w:t>
            </w:r>
          </w:p>
          <w:p>
            <w:pPr>
              <w:spacing w:line="280" w:lineRule="exact"/>
              <w:rPr>
                <w:rFonts w:cs="宋体"/>
                <w:szCs w:val="21"/>
              </w:rPr>
            </w:pPr>
            <w:r>
              <w:rPr>
                <w:rFonts w:hint="eastAsia" w:cs="宋体"/>
                <w:szCs w:val="21"/>
              </w:rPr>
              <w:t>③在电梯驱动主机上接近盘车手轮处，明显标出轿厢运行方向，如果手轮是不可拆卸的可以在手轮上标出；</w:t>
            </w:r>
          </w:p>
          <w:p>
            <w:pPr>
              <w:spacing w:line="280" w:lineRule="exact"/>
              <w:rPr>
                <w:rFonts w:cs="宋体"/>
                <w:szCs w:val="21"/>
              </w:rPr>
            </w:pPr>
            <w:r>
              <w:rPr>
                <w:rFonts w:hint="eastAsia" w:cs="宋体"/>
                <w:szCs w:val="21"/>
              </w:rPr>
              <w:t>④能够通过操纵手动松闸装置松开制动器，并且需要以一个持续力保持其松开状态；</w:t>
            </w:r>
          </w:p>
          <w:p>
            <w:pPr>
              <w:spacing w:line="280" w:lineRule="exact"/>
              <w:rPr>
                <w:rFonts w:cs="宋体"/>
                <w:szCs w:val="21"/>
              </w:rPr>
            </w:pPr>
            <w:r>
              <w:rPr>
                <w:rFonts w:hint="eastAsia" w:cs="宋体"/>
                <w:szCs w:val="21"/>
              </w:rPr>
              <w:t>⑤进行手动紧急操作时，易于观察到轿厢是否在开锁区。</w:t>
            </w:r>
          </w:p>
        </w:tc>
        <w:tc>
          <w:tcPr>
            <w:tcW w:w="6662" w:type="dxa"/>
            <w:shd w:val="clear" w:color="auto" w:fill="auto"/>
            <w:vAlign w:val="center"/>
          </w:tcPr>
          <w:p>
            <w:pPr>
              <w:tabs>
                <w:tab w:val="left" w:pos="1620"/>
              </w:tabs>
              <w:spacing w:line="280" w:lineRule="exact"/>
              <w:rPr>
                <w:rFonts w:cs="宋体"/>
                <w:szCs w:val="21"/>
              </w:rPr>
            </w:pPr>
            <w:r>
              <w:rPr>
                <w:rFonts w:hint="eastAsia" w:cs="宋体"/>
                <w:szCs w:val="21"/>
              </w:rPr>
              <w:t>目测；通过模拟操作检查电气安全装置和手动松闸功能。</w:t>
            </w:r>
          </w:p>
          <w:p>
            <w:pPr>
              <w:tabs>
                <w:tab w:val="left" w:pos="1620"/>
              </w:tabs>
              <w:spacing w:line="280" w:lineRule="exact"/>
              <w:rPr>
                <w:rFonts w:cs="宋体"/>
                <w:szCs w:val="21"/>
              </w:rPr>
            </w:pPr>
            <w:r>
              <w:rPr>
                <w:rFonts w:hint="eastAsia" w:cs="宋体"/>
                <w:szCs w:val="21"/>
              </w:rPr>
              <w:t>【补充说明】</w:t>
            </w:r>
          </w:p>
          <w:p>
            <w:pPr>
              <w:tabs>
                <w:tab w:val="left" w:pos="1620"/>
              </w:tabs>
              <w:spacing w:line="280" w:lineRule="exact"/>
              <w:rPr>
                <w:rFonts w:cs="宋体"/>
                <w:szCs w:val="21"/>
              </w:rPr>
            </w:pPr>
            <w:r>
              <w:rPr>
                <w:rFonts w:hint="eastAsia" w:cs="宋体"/>
                <w:szCs w:val="21"/>
              </w:rPr>
              <w:t>标有★的项目为根据有关规定，对于允许按照</w:t>
            </w:r>
            <w:r>
              <w:rPr>
                <w:rFonts w:cs="宋体"/>
                <w:szCs w:val="21"/>
              </w:rPr>
              <w:t>GB7588-1995及更早期标准生产的电梯，可以不检验</w:t>
            </w:r>
            <w:r>
              <w:rPr>
                <w:rFonts w:hint="eastAsia"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restart"/>
            <w:shd w:val="clear" w:color="auto" w:fill="auto"/>
            <w:vAlign w:val="center"/>
          </w:tcPr>
          <w:p>
            <w:pPr>
              <w:spacing w:line="280" w:lineRule="exact"/>
              <w:jc w:val="center"/>
              <w:rPr>
                <w:rFonts w:cs="宋体"/>
                <w:szCs w:val="21"/>
              </w:rPr>
            </w:pPr>
            <w:r>
              <w:rPr>
                <w:rFonts w:hint="eastAsia" w:cs="宋体"/>
                <w:szCs w:val="21"/>
              </w:rPr>
              <w:t>2</w:t>
            </w:r>
          </w:p>
        </w:tc>
        <w:tc>
          <w:tcPr>
            <w:tcW w:w="850" w:type="dxa"/>
            <w:vMerge w:val="restart"/>
            <w:shd w:val="clear" w:color="auto" w:fill="auto"/>
            <w:vAlign w:val="center"/>
          </w:tcPr>
          <w:p>
            <w:pPr>
              <w:spacing w:line="280" w:lineRule="exact"/>
              <w:jc w:val="center"/>
              <w:rPr>
                <w:rFonts w:cs="宋体"/>
                <w:szCs w:val="21"/>
              </w:rPr>
            </w:pPr>
            <w:r>
              <w:rPr>
                <w:rFonts w:hint="eastAsia" w:cs="宋体"/>
                <w:szCs w:val="21"/>
              </w:rPr>
              <w:t>2.8</w:t>
            </w:r>
          </w:p>
          <w:p>
            <w:pPr>
              <w:spacing w:line="280" w:lineRule="exact"/>
              <w:jc w:val="center"/>
              <w:rPr>
                <w:rFonts w:cs="宋体"/>
                <w:szCs w:val="21"/>
              </w:rPr>
            </w:pPr>
            <w:r>
              <w:rPr>
                <w:rFonts w:hint="eastAsia" w:cs="宋体"/>
                <w:szCs w:val="21"/>
              </w:rPr>
              <w:t>控制柜、紧急操作和动态测试装置</w:t>
            </w:r>
          </w:p>
          <w:p>
            <w:pPr>
              <w:spacing w:line="280" w:lineRule="exact"/>
              <w:rPr>
                <w:rFonts w:cs="宋体"/>
                <w:szCs w:val="21"/>
              </w:rPr>
            </w:pPr>
            <w:r>
              <w:rPr>
                <w:rFonts w:hint="eastAsia" w:cs="宋体"/>
                <w:szCs w:val="21"/>
              </w:rPr>
              <w:t>（B）</w:t>
            </w:r>
          </w:p>
        </w:tc>
        <w:tc>
          <w:tcPr>
            <w:tcW w:w="5529" w:type="dxa"/>
            <w:shd w:val="clear" w:color="auto" w:fill="auto"/>
          </w:tcPr>
          <w:p>
            <w:pPr>
              <w:spacing w:line="280" w:lineRule="exact"/>
              <w:rPr>
                <w:rFonts w:cs="宋体"/>
                <w:szCs w:val="21"/>
              </w:rPr>
            </w:pPr>
            <w:r>
              <w:rPr>
                <w:rFonts w:hint="eastAsia" w:cs="宋体"/>
                <w:szCs w:val="21"/>
              </w:rPr>
              <w:t>（1）紧急电动运行装置应当符合以下要求：</w:t>
            </w:r>
          </w:p>
          <w:p>
            <w:pPr>
              <w:spacing w:line="280" w:lineRule="exact"/>
              <w:rPr>
                <w:rFonts w:cs="宋体"/>
                <w:szCs w:val="21"/>
              </w:rPr>
            </w:pPr>
            <w:r>
              <w:rPr>
                <w:rFonts w:hint="eastAsia" w:cs="宋体"/>
                <w:szCs w:val="21"/>
              </w:rPr>
              <w:t>①依靠持续揿压按钮来控制轿厢运行，此按钮有防止误操作的保护，按钮上或者其近旁标出相应的运行方向；</w:t>
            </w:r>
          </w:p>
          <w:p>
            <w:pPr>
              <w:spacing w:line="280" w:lineRule="exact"/>
              <w:rPr>
                <w:rFonts w:cs="宋体"/>
                <w:szCs w:val="21"/>
              </w:rPr>
            </w:pPr>
            <w:r>
              <w:rPr>
                <w:rFonts w:hint="eastAsia" w:cs="宋体"/>
                <w:szCs w:val="21"/>
              </w:rPr>
              <w:t>②一旦进入检修运行，紧急电动运行装置控制轿厢运行的功能由检修控制装置所取代；</w:t>
            </w:r>
          </w:p>
          <w:p>
            <w:pPr>
              <w:spacing w:line="280" w:lineRule="exact"/>
              <w:rPr>
                <w:rFonts w:cs="宋体"/>
                <w:szCs w:val="21"/>
              </w:rPr>
            </w:pPr>
            <w:r>
              <w:rPr>
                <w:rFonts w:hint="eastAsia" w:cs="宋体"/>
                <w:szCs w:val="21"/>
              </w:rPr>
              <w:t>③进行紧急电动运行操作时，易于观察到轿厢是否在开锁区。</w:t>
            </w:r>
          </w:p>
        </w:tc>
        <w:tc>
          <w:tcPr>
            <w:tcW w:w="6662" w:type="dxa"/>
            <w:shd w:val="clear" w:color="auto" w:fill="auto"/>
            <w:vAlign w:val="center"/>
          </w:tcPr>
          <w:p>
            <w:pPr>
              <w:spacing w:line="280" w:lineRule="exact"/>
              <w:rPr>
                <w:rFonts w:cs="宋体"/>
                <w:szCs w:val="21"/>
              </w:rPr>
            </w:pPr>
            <w:r>
              <w:rPr>
                <w:rFonts w:hint="eastAsia" w:cs="宋体"/>
                <w:szCs w:val="21"/>
              </w:rPr>
              <w:t>目测；通过模拟操作检查紧急电动运行装置功能。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shd w:val="clear" w:color="auto" w:fill="auto"/>
            <w:vAlign w:val="center"/>
          </w:tcPr>
          <w:p>
            <w:pPr>
              <w:spacing w:line="280" w:lineRule="exact"/>
              <w:jc w:val="center"/>
              <w:rPr>
                <w:rFonts w:cs="宋体"/>
                <w:szCs w:val="21"/>
              </w:rPr>
            </w:pPr>
          </w:p>
        </w:tc>
        <w:tc>
          <w:tcPr>
            <w:tcW w:w="850" w:type="dxa"/>
            <w:vMerge w:val="continue"/>
            <w:shd w:val="clear" w:color="auto" w:fill="auto"/>
            <w:vAlign w:val="center"/>
          </w:tcPr>
          <w:p>
            <w:pPr>
              <w:spacing w:line="280" w:lineRule="exact"/>
              <w:rPr>
                <w:rFonts w:cs="宋体"/>
                <w:szCs w:val="21"/>
              </w:rPr>
            </w:pPr>
          </w:p>
        </w:tc>
        <w:tc>
          <w:tcPr>
            <w:tcW w:w="5529" w:type="dxa"/>
            <w:shd w:val="clear" w:color="auto" w:fill="auto"/>
          </w:tcPr>
          <w:p>
            <w:pPr>
              <w:spacing w:line="280" w:lineRule="exact"/>
              <w:rPr>
                <w:rFonts w:cs="宋体"/>
                <w:szCs w:val="21"/>
              </w:rPr>
            </w:pPr>
            <w:r>
              <w:rPr>
                <w:rFonts w:hint="eastAsia" w:cs="宋体"/>
                <w:szCs w:val="21"/>
              </w:rPr>
              <w:t>（2）无机房电梯的紧急操作和动态测试装置应当符合以下要求：</w:t>
            </w:r>
          </w:p>
          <w:p>
            <w:pPr>
              <w:spacing w:line="280" w:lineRule="exact"/>
              <w:rPr>
                <w:rFonts w:cs="宋体"/>
                <w:szCs w:val="21"/>
              </w:rPr>
            </w:pPr>
            <w:r>
              <w:rPr>
                <w:rFonts w:hint="eastAsia" w:cs="宋体"/>
                <w:szCs w:val="21"/>
              </w:rPr>
              <w:t>①在任何情况下均能够安全方便地从井道外接近和操作该装置；</w:t>
            </w:r>
          </w:p>
          <w:p>
            <w:pPr>
              <w:spacing w:line="280" w:lineRule="exact"/>
              <w:rPr>
                <w:rFonts w:cs="宋体"/>
                <w:szCs w:val="21"/>
              </w:rPr>
            </w:pPr>
            <w:r>
              <w:rPr>
                <w:rFonts w:hint="eastAsia" w:cs="宋体"/>
                <w:szCs w:val="21"/>
              </w:rPr>
              <w:t>②能够直接或者通过显示装置观察到轿厢的运动方向、速度以及是否位于开锁区；</w:t>
            </w:r>
          </w:p>
          <w:p>
            <w:pPr>
              <w:spacing w:line="280" w:lineRule="exact"/>
              <w:rPr>
                <w:rFonts w:cs="宋体"/>
                <w:szCs w:val="21"/>
              </w:rPr>
            </w:pPr>
            <w:r>
              <w:rPr>
                <w:rFonts w:hint="eastAsia" w:cs="宋体"/>
                <w:szCs w:val="21"/>
              </w:rPr>
              <w:t>③装置上设有永久性照明和照明开关；</w:t>
            </w:r>
          </w:p>
          <w:p>
            <w:pPr>
              <w:spacing w:line="280" w:lineRule="exact"/>
              <w:rPr>
                <w:rFonts w:cs="宋体"/>
                <w:szCs w:val="21"/>
              </w:rPr>
            </w:pPr>
            <w:r>
              <w:rPr>
                <w:rFonts w:hint="eastAsia" w:cs="宋体"/>
                <w:szCs w:val="21"/>
              </w:rPr>
              <w:t>④装置上设有停止装置或者主开关。</w:t>
            </w:r>
          </w:p>
        </w:tc>
        <w:tc>
          <w:tcPr>
            <w:tcW w:w="6662" w:type="dxa"/>
            <w:shd w:val="clear" w:color="auto" w:fill="auto"/>
            <w:vAlign w:val="center"/>
          </w:tcPr>
          <w:p>
            <w:pPr>
              <w:spacing w:line="280" w:lineRule="exact"/>
              <w:rPr>
                <w:rFonts w:cs="宋体"/>
                <w:szCs w:val="21"/>
              </w:rPr>
            </w:pPr>
            <w:r>
              <w:rPr>
                <w:rFonts w:hint="eastAsia" w:cs="宋体"/>
                <w:szCs w:val="21"/>
              </w:rPr>
              <w:t>目测；结合相关试验，验证紧急操作和动态测试装置的功能。</w:t>
            </w:r>
          </w:p>
          <w:p>
            <w:pPr>
              <w:spacing w:line="280" w:lineRule="exact"/>
              <w:rPr>
                <w:rFonts w:cs="宋体"/>
                <w:szCs w:val="21"/>
              </w:rPr>
            </w:pPr>
            <w:r>
              <w:rPr>
                <w:rFonts w:hint="eastAsia" w:cs="宋体"/>
                <w:szCs w:val="21"/>
              </w:rPr>
              <w:t>操作停止装置，验证其功能。</w:t>
            </w:r>
          </w:p>
          <w:p>
            <w:pPr>
              <w:spacing w:line="280" w:lineRule="exact"/>
              <w:rPr>
                <w:rFonts w:cs="宋体"/>
                <w:szCs w:val="21"/>
              </w:rPr>
            </w:pPr>
            <w:r>
              <w:rPr>
                <w:rFonts w:hint="eastAsia" w:cs="宋体"/>
                <w:szCs w:val="21"/>
              </w:rPr>
              <w:t>【补充说明】</w:t>
            </w:r>
          </w:p>
          <w:p>
            <w:pPr>
              <w:spacing w:line="280" w:lineRule="exact"/>
              <w:rPr>
                <w:rFonts w:cs="宋体"/>
                <w:szCs w:val="21"/>
              </w:rPr>
            </w:pPr>
            <w:r>
              <w:rPr>
                <w:rFonts w:hint="eastAsia" w:cs="宋体"/>
                <w:szCs w:val="21"/>
              </w:rPr>
              <w:t>①对于日立UAX 无机房电梯紧急操作和动态试验装置，考虑到该型号无机房电梯属于早期安装的设备，能满足本项要求，按合格判定。</w:t>
            </w:r>
          </w:p>
          <w:p>
            <w:pPr>
              <w:spacing w:line="280" w:lineRule="exact"/>
              <w:rPr>
                <w:rFonts w:cs="宋体"/>
                <w:szCs w:val="21"/>
              </w:rPr>
            </w:pPr>
            <w:r>
              <w:rPr>
                <w:rFonts w:hint="eastAsia" w:cs="宋体"/>
                <w:szCs w:val="21"/>
              </w:rPr>
              <w:t>②如果紧急操作与动态试验屏装有主电源开关，则不要求设置停止装置。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restart"/>
            <w:shd w:val="clear" w:color="auto" w:fill="auto"/>
            <w:vAlign w:val="center"/>
          </w:tcPr>
          <w:p>
            <w:pPr>
              <w:spacing w:line="280" w:lineRule="exact"/>
              <w:jc w:val="center"/>
              <w:rPr>
                <w:rFonts w:cs="宋体"/>
                <w:szCs w:val="21"/>
              </w:rPr>
            </w:pPr>
            <w:r>
              <w:rPr>
                <w:rFonts w:hint="eastAsia" w:cs="宋体"/>
                <w:szCs w:val="21"/>
              </w:rPr>
              <w:t>3</w:t>
            </w:r>
          </w:p>
        </w:tc>
        <w:tc>
          <w:tcPr>
            <w:tcW w:w="850" w:type="dxa"/>
            <w:vMerge w:val="restart"/>
            <w:shd w:val="clear" w:color="auto" w:fill="auto"/>
            <w:vAlign w:val="center"/>
          </w:tcPr>
          <w:p>
            <w:pPr>
              <w:spacing w:line="280" w:lineRule="exact"/>
              <w:jc w:val="center"/>
              <w:rPr>
                <w:rFonts w:cs="宋体"/>
                <w:szCs w:val="21"/>
              </w:rPr>
            </w:pPr>
            <w:r>
              <w:rPr>
                <w:rFonts w:hint="eastAsia" w:cs="宋体"/>
                <w:szCs w:val="21"/>
              </w:rPr>
              <w:t>4.8</w:t>
            </w:r>
          </w:p>
          <w:p>
            <w:pPr>
              <w:spacing w:line="280" w:lineRule="exact"/>
              <w:jc w:val="center"/>
              <w:rPr>
                <w:rFonts w:cs="宋体"/>
                <w:szCs w:val="21"/>
              </w:rPr>
            </w:pPr>
            <w:r>
              <w:rPr>
                <w:rFonts w:hint="eastAsia" w:cs="宋体"/>
                <w:szCs w:val="21"/>
              </w:rPr>
              <w:t>紧急照明和报警装置（B）</w:t>
            </w:r>
          </w:p>
        </w:tc>
        <w:tc>
          <w:tcPr>
            <w:tcW w:w="5529" w:type="dxa"/>
            <w:shd w:val="clear" w:color="auto" w:fill="auto"/>
          </w:tcPr>
          <w:p>
            <w:pPr>
              <w:spacing w:line="280" w:lineRule="exact"/>
              <w:rPr>
                <w:rFonts w:cs="宋体"/>
                <w:szCs w:val="21"/>
              </w:rPr>
            </w:pPr>
            <w:r>
              <w:rPr>
                <w:rFonts w:hint="eastAsia" w:cs="宋体"/>
                <w:szCs w:val="21"/>
              </w:rPr>
              <w:t>轿厢内应当装设符合下述要求的紧急报警装置和紧急照明：</w:t>
            </w:r>
          </w:p>
          <w:p>
            <w:pPr>
              <w:spacing w:line="280" w:lineRule="exact"/>
              <w:rPr>
                <w:rFonts w:cs="宋体"/>
                <w:szCs w:val="21"/>
              </w:rPr>
            </w:pPr>
            <w:r>
              <w:rPr>
                <w:rFonts w:hint="eastAsia" w:cs="宋体"/>
                <w:szCs w:val="21"/>
              </w:rPr>
              <w:t>（1）正常照明电源中断时，能够自动接通紧急照明电源；</w:t>
            </w:r>
          </w:p>
        </w:tc>
        <w:tc>
          <w:tcPr>
            <w:tcW w:w="6662" w:type="dxa"/>
            <w:vMerge w:val="restart"/>
            <w:shd w:val="clear" w:color="auto" w:fill="auto"/>
            <w:vAlign w:val="center"/>
          </w:tcPr>
          <w:p>
            <w:pPr>
              <w:spacing w:before="156" w:beforeLines="50" w:line="280" w:lineRule="exact"/>
              <w:rPr>
                <w:rFonts w:cs="宋体"/>
                <w:szCs w:val="21"/>
              </w:rPr>
            </w:pPr>
            <w:r>
              <w:rPr>
                <w:rFonts w:hint="eastAsia" w:cs="宋体"/>
                <w:szCs w:val="21"/>
              </w:rPr>
              <w:t>接通和断开紧急报警装置的正常供电电源，分别验证紧急报警装置的功能；断开正常照明供电电源，验证紧急照明的功能。</w:t>
            </w:r>
          </w:p>
          <w:p>
            <w:pPr>
              <w:pStyle w:val="20"/>
              <w:jc w:val="both"/>
              <w:rPr>
                <w:rFonts w:hAnsi="宋体"/>
                <w:color w:val="auto"/>
                <w:kern w:val="2"/>
                <w:sz w:val="21"/>
                <w:szCs w:val="21"/>
              </w:rPr>
            </w:pPr>
            <w:r>
              <w:rPr>
                <w:rFonts w:hint="eastAsia" w:hAnsi="宋体"/>
                <w:color w:val="auto"/>
                <w:kern w:val="2"/>
                <w:sz w:val="21"/>
                <w:szCs w:val="21"/>
              </w:rPr>
              <w:t>【补充说明】</w:t>
            </w:r>
          </w:p>
          <w:p>
            <w:pPr>
              <w:rPr>
                <w:rFonts w:cs="宋体"/>
                <w:szCs w:val="21"/>
              </w:rPr>
            </w:pPr>
            <w:r>
              <w:rPr>
                <w:rFonts w:hint="eastAsia" w:cs="宋体"/>
                <w:szCs w:val="21"/>
              </w:rPr>
              <w:t>若轿内电话与公用电话网连接，并且应急照明满足看见所标永久性的电话号码以及电话号码盘，则按</w:t>
            </w:r>
            <w:r>
              <w:rPr>
                <w:rFonts w:cs="宋体"/>
                <w:szCs w:val="21"/>
              </w:rPr>
              <w:t>合格判定</w:t>
            </w:r>
            <w:r>
              <w:rPr>
                <w:rFonts w:hint="eastAsia"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shd w:val="clear" w:color="auto" w:fill="auto"/>
            <w:vAlign w:val="center"/>
          </w:tcPr>
          <w:p>
            <w:pPr>
              <w:spacing w:line="280" w:lineRule="exact"/>
              <w:jc w:val="center"/>
              <w:rPr>
                <w:rFonts w:cs="宋体"/>
                <w:szCs w:val="21"/>
              </w:rPr>
            </w:pPr>
          </w:p>
        </w:tc>
        <w:tc>
          <w:tcPr>
            <w:tcW w:w="850" w:type="dxa"/>
            <w:vMerge w:val="continue"/>
            <w:shd w:val="clear" w:color="auto" w:fill="auto"/>
            <w:vAlign w:val="center"/>
          </w:tcPr>
          <w:p>
            <w:pPr>
              <w:spacing w:line="280" w:lineRule="exact"/>
              <w:jc w:val="center"/>
              <w:rPr>
                <w:rFonts w:cs="宋体"/>
                <w:szCs w:val="21"/>
              </w:rPr>
            </w:pPr>
          </w:p>
        </w:tc>
        <w:tc>
          <w:tcPr>
            <w:tcW w:w="5529" w:type="dxa"/>
            <w:shd w:val="clear" w:color="auto" w:fill="auto"/>
          </w:tcPr>
          <w:p>
            <w:pPr>
              <w:spacing w:line="280" w:lineRule="exact"/>
              <w:rPr>
                <w:rFonts w:cs="宋体"/>
                <w:szCs w:val="21"/>
              </w:rPr>
            </w:pPr>
            <w:r>
              <w:rPr>
                <w:rFonts w:hint="eastAsia" w:cs="宋体"/>
                <w:szCs w:val="21"/>
              </w:rPr>
              <w:t>（2）紧急报警装置采用对讲系统以便与救援服务持续联系，当电梯行程大于30m时，在轿厢和机房(或者紧急操作地点)之间也设置对讲系统，紧急报警装置的供电来自本条(1)所述的紧急照明电源或者等效电源；在启动对讲系统后，被困乘客不必再做其他操作</w:t>
            </w:r>
          </w:p>
        </w:tc>
        <w:tc>
          <w:tcPr>
            <w:tcW w:w="6662" w:type="dxa"/>
            <w:vMerge w:val="continue"/>
            <w:shd w:val="clear" w:color="auto" w:fill="auto"/>
          </w:tcPr>
          <w:p>
            <w:pPr>
              <w:spacing w:before="156" w:beforeLines="50" w:line="280" w:lineRule="exact"/>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spacing w:line="280" w:lineRule="exact"/>
              <w:jc w:val="center"/>
              <w:rPr>
                <w:rFonts w:cs="宋体"/>
                <w:szCs w:val="21"/>
              </w:rPr>
            </w:pPr>
            <w:r>
              <w:rPr>
                <w:rFonts w:hint="eastAsia" w:cs="宋体"/>
                <w:szCs w:val="21"/>
              </w:rPr>
              <w:t>4</w:t>
            </w:r>
          </w:p>
        </w:tc>
        <w:tc>
          <w:tcPr>
            <w:tcW w:w="850" w:type="dxa"/>
            <w:shd w:val="clear" w:color="auto" w:fill="auto"/>
            <w:vAlign w:val="center"/>
          </w:tcPr>
          <w:p>
            <w:pPr>
              <w:spacing w:line="280" w:lineRule="exact"/>
              <w:jc w:val="center"/>
              <w:rPr>
                <w:rFonts w:cs="宋体"/>
                <w:szCs w:val="21"/>
              </w:rPr>
            </w:pPr>
            <w:r>
              <w:rPr>
                <w:rFonts w:hint="eastAsia" w:cs="宋体"/>
                <w:szCs w:val="21"/>
              </w:rPr>
              <w:t>6.5</w:t>
            </w:r>
          </w:p>
          <w:p>
            <w:pPr>
              <w:spacing w:line="280" w:lineRule="exact"/>
              <w:jc w:val="center"/>
              <w:rPr>
                <w:rFonts w:cs="宋体"/>
                <w:szCs w:val="21"/>
              </w:rPr>
            </w:pPr>
            <w:r>
              <w:rPr>
                <w:rFonts w:hint="eastAsia" w:cs="宋体"/>
                <w:szCs w:val="21"/>
              </w:rPr>
              <w:t>防止门夹人的保护装置（B）</w:t>
            </w:r>
          </w:p>
        </w:tc>
        <w:tc>
          <w:tcPr>
            <w:tcW w:w="5529" w:type="dxa"/>
            <w:shd w:val="clear" w:color="auto" w:fill="auto"/>
            <w:vAlign w:val="center"/>
          </w:tcPr>
          <w:p>
            <w:pPr>
              <w:spacing w:line="280" w:lineRule="exact"/>
              <w:rPr>
                <w:rFonts w:cs="宋体"/>
                <w:szCs w:val="21"/>
              </w:rPr>
            </w:pPr>
            <w:r>
              <w:rPr>
                <w:rFonts w:hint="eastAsia" w:cs="宋体"/>
                <w:szCs w:val="21"/>
              </w:rPr>
              <w:t>动力驱动的自动水平滑动门应当设置防止门夹人的保护装置，当人员通过层门入口被正在关闭的门扇撞击或者将被撞击时，该装置应当自动使门重新开启。</w:t>
            </w:r>
          </w:p>
        </w:tc>
        <w:tc>
          <w:tcPr>
            <w:tcW w:w="6662" w:type="dxa"/>
            <w:shd w:val="clear" w:color="auto" w:fill="auto"/>
            <w:vAlign w:val="center"/>
          </w:tcPr>
          <w:p>
            <w:pPr>
              <w:spacing w:line="280" w:lineRule="exact"/>
              <w:rPr>
                <w:rFonts w:cs="宋体"/>
                <w:szCs w:val="21"/>
              </w:rPr>
            </w:pPr>
            <w:r>
              <w:rPr>
                <w:rFonts w:hint="eastAsia" w:cs="宋体"/>
                <w:szCs w:val="21"/>
              </w:rPr>
              <w:t>模拟动作试验。</w:t>
            </w:r>
          </w:p>
          <w:p>
            <w:pPr>
              <w:spacing w:line="280" w:lineRule="exact"/>
              <w:rPr>
                <w:rFonts w:cs="宋体"/>
                <w:szCs w:val="21"/>
              </w:rPr>
            </w:pPr>
            <w:r>
              <w:rPr>
                <w:rFonts w:hint="eastAsia" w:cs="宋体"/>
                <w:szCs w:val="21"/>
              </w:rPr>
              <w:t>【补充说明】</w:t>
            </w:r>
          </w:p>
          <w:p>
            <w:pPr>
              <w:spacing w:line="280" w:lineRule="exact"/>
              <w:rPr>
                <w:rFonts w:cs="宋体"/>
                <w:szCs w:val="21"/>
              </w:rPr>
            </w:pPr>
            <w:r>
              <w:rPr>
                <w:rFonts w:hint="eastAsia" w:cs="宋体"/>
                <w:szCs w:val="21"/>
              </w:rPr>
              <w:t>如果中分门采用安全触板作为防止夹人的保护装置，则两侧轿厢门扇都应设置安全触板。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560" w:type="dxa"/>
            <w:shd w:val="clear" w:color="auto" w:fill="auto"/>
            <w:vAlign w:val="center"/>
          </w:tcPr>
          <w:p>
            <w:pPr>
              <w:spacing w:line="280" w:lineRule="exact"/>
              <w:jc w:val="center"/>
              <w:rPr>
                <w:rFonts w:cs="宋体"/>
                <w:szCs w:val="21"/>
              </w:rPr>
            </w:pPr>
            <w:r>
              <w:rPr>
                <w:rFonts w:hint="eastAsia" w:cs="宋体"/>
                <w:szCs w:val="21"/>
              </w:rPr>
              <w:t>5</w:t>
            </w:r>
          </w:p>
        </w:tc>
        <w:tc>
          <w:tcPr>
            <w:tcW w:w="850" w:type="dxa"/>
            <w:shd w:val="clear" w:color="auto" w:fill="auto"/>
            <w:vAlign w:val="center"/>
          </w:tcPr>
          <w:p>
            <w:pPr>
              <w:spacing w:line="280" w:lineRule="exact"/>
              <w:jc w:val="center"/>
              <w:rPr>
                <w:rFonts w:cs="宋体"/>
                <w:szCs w:val="21"/>
              </w:rPr>
            </w:pPr>
            <w:r>
              <w:rPr>
                <w:rFonts w:hint="eastAsia" w:cs="宋体"/>
                <w:szCs w:val="21"/>
              </w:rPr>
              <w:t>6.6</w:t>
            </w:r>
          </w:p>
          <w:p>
            <w:pPr>
              <w:spacing w:line="280" w:lineRule="exact"/>
              <w:jc w:val="center"/>
              <w:rPr>
                <w:rFonts w:cs="宋体"/>
                <w:szCs w:val="21"/>
              </w:rPr>
            </w:pPr>
            <w:r>
              <w:rPr>
                <w:rFonts w:hint="eastAsia" w:cs="宋体"/>
                <w:szCs w:val="21"/>
              </w:rPr>
              <w:t>门的运行和导向（</w:t>
            </w:r>
            <w:r>
              <w:rPr>
                <w:rFonts w:cs="宋体"/>
                <w:szCs w:val="21"/>
              </w:rPr>
              <w:t>B</w:t>
            </w:r>
            <w:r>
              <w:rPr>
                <w:rFonts w:hint="eastAsia" w:cs="宋体"/>
                <w:szCs w:val="21"/>
              </w:rPr>
              <w:t>）</w:t>
            </w:r>
          </w:p>
        </w:tc>
        <w:tc>
          <w:tcPr>
            <w:tcW w:w="5529" w:type="dxa"/>
            <w:shd w:val="clear" w:color="auto" w:fill="auto"/>
            <w:vAlign w:val="center"/>
          </w:tcPr>
          <w:p>
            <w:pPr>
              <w:spacing w:line="280" w:lineRule="exact"/>
              <w:rPr>
                <w:rFonts w:cs="宋体"/>
                <w:szCs w:val="21"/>
              </w:rPr>
            </w:pPr>
            <w:r>
              <w:rPr>
                <w:rFonts w:hint="eastAsia" w:cs="宋体"/>
                <w:szCs w:val="21"/>
              </w:rPr>
              <w:t>层门和轿门正常运行时不得出现脱轨、机械卡阻或者在行程终端时错位；如果磨损、锈蚀或者火灾可能造成层门导向装置失效，应当设置应急导向装置，使层门保持在原有位置</w:t>
            </w:r>
          </w:p>
        </w:tc>
        <w:tc>
          <w:tcPr>
            <w:tcW w:w="6662" w:type="dxa"/>
            <w:shd w:val="clear" w:color="auto" w:fill="auto"/>
            <w:vAlign w:val="center"/>
          </w:tcPr>
          <w:p>
            <w:pPr>
              <w:spacing w:line="280" w:lineRule="exact"/>
              <w:rPr>
                <w:rFonts w:cs="宋体"/>
                <w:szCs w:val="21"/>
              </w:rPr>
            </w:pPr>
            <w:r>
              <w:rPr>
                <w:rFonts w:hint="eastAsia" w:cs="宋体"/>
                <w:szCs w:val="21"/>
              </w:rPr>
              <w:t>目测(对于层门，抽取基站、端站以及至少20%其他层站的层门进行检查)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jc w:val="center"/>
              <w:rPr>
                <w:rFonts w:cs="宋体"/>
                <w:szCs w:val="21"/>
              </w:rPr>
            </w:pPr>
            <w:r>
              <w:rPr>
                <w:rFonts w:hint="eastAsia" w:cs="宋体"/>
                <w:szCs w:val="21"/>
              </w:rPr>
              <w:t>6</w:t>
            </w:r>
          </w:p>
        </w:tc>
        <w:tc>
          <w:tcPr>
            <w:tcW w:w="850" w:type="dxa"/>
            <w:shd w:val="clear" w:color="auto" w:fill="auto"/>
            <w:vAlign w:val="center"/>
          </w:tcPr>
          <w:p>
            <w:pPr>
              <w:jc w:val="center"/>
              <w:rPr>
                <w:rFonts w:cs="宋体"/>
                <w:szCs w:val="21"/>
              </w:rPr>
            </w:pPr>
            <w:r>
              <w:rPr>
                <w:rFonts w:hint="eastAsia" w:cs="宋体"/>
                <w:szCs w:val="21"/>
              </w:rPr>
              <w:t>6.7</w:t>
            </w:r>
          </w:p>
          <w:p>
            <w:pPr>
              <w:jc w:val="center"/>
              <w:rPr>
                <w:rFonts w:cs="宋体"/>
                <w:szCs w:val="21"/>
              </w:rPr>
            </w:pPr>
            <w:r>
              <w:rPr>
                <w:rFonts w:hint="eastAsia" w:cs="宋体"/>
                <w:szCs w:val="21"/>
              </w:rPr>
              <w:t>自动关闭层门</w:t>
            </w:r>
          </w:p>
          <w:p>
            <w:pPr>
              <w:jc w:val="center"/>
              <w:rPr>
                <w:rFonts w:cs="宋体"/>
                <w:szCs w:val="21"/>
              </w:rPr>
            </w:pPr>
            <w:r>
              <w:rPr>
                <w:rFonts w:hint="eastAsia" w:cs="宋体"/>
                <w:szCs w:val="21"/>
              </w:rPr>
              <w:t>装置(B)</w:t>
            </w:r>
          </w:p>
        </w:tc>
        <w:tc>
          <w:tcPr>
            <w:tcW w:w="5529" w:type="dxa"/>
            <w:shd w:val="clear" w:color="auto" w:fill="auto"/>
            <w:vAlign w:val="center"/>
          </w:tcPr>
          <w:p>
            <w:pPr>
              <w:rPr>
                <w:rFonts w:cs="宋体"/>
                <w:szCs w:val="21"/>
              </w:rPr>
            </w:pPr>
            <w:r>
              <w:rPr>
                <w:rFonts w:hint="eastAsia" w:cs="宋体"/>
                <w:szCs w:val="21"/>
              </w:rPr>
              <w:t>在轿门驱动层门的情况下，当轿厢在开锁区域之外时，如果层门开启(无论何种原因)，应当有一种装置能够确保该层门自动关闭。自动关闭装置采用重块时，应当有防止重块坠落的措施</w:t>
            </w:r>
          </w:p>
        </w:tc>
        <w:tc>
          <w:tcPr>
            <w:tcW w:w="6662" w:type="dxa"/>
            <w:shd w:val="clear" w:color="auto" w:fill="auto"/>
            <w:vAlign w:val="center"/>
          </w:tcPr>
          <w:p>
            <w:pPr>
              <w:autoSpaceDE w:val="0"/>
              <w:autoSpaceDN w:val="0"/>
              <w:adjustRightInd w:val="0"/>
              <w:spacing w:before="156" w:beforeLines="50"/>
              <w:rPr>
                <w:rFonts w:cs="宋体"/>
                <w:szCs w:val="21"/>
              </w:rPr>
            </w:pPr>
            <w:r>
              <w:rPr>
                <w:rFonts w:hint="eastAsia" w:cs="宋体"/>
                <w:szCs w:val="21"/>
              </w:rPr>
              <w:t>抽取基站、端站以及至少20%其他层站的层门，将轿厢运行至开锁区域外，打开层门，观察层门关闭情况及防止重块坠落措施的有效性。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jc w:val="center"/>
            </w:pPr>
            <w:r>
              <w:t>7</w:t>
            </w:r>
          </w:p>
        </w:tc>
        <w:tc>
          <w:tcPr>
            <w:tcW w:w="850" w:type="dxa"/>
            <w:shd w:val="clear" w:color="auto" w:fill="auto"/>
          </w:tcPr>
          <w:p>
            <w:pPr>
              <w:jc w:val="center"/>
            </w:pPr>
            <w:r>
              <w:rPr>
                <w:rFonts w:hint="eastAsia"/>
              </w:rPr>
              <w:t>6.8</w:t>
            </w:r>
          </w:p>
          <w:p>
            <w:r>
              <w:t>紧急开锁装置（B）</w:t>
            </w:r>
          </w:p>
        </w:tc>
        <w:tc>
          <w:tcPr>
            <w:tcW w:w="5529" w:type="dxa"/>
            <w:shd w:val="clear" w:color="auto" w:fill="auto"/>
            <w:vAlign w:val="center"/>
          </w:tcPr>
          <w:p>
            <w:r>
              <w:t>每个层门均应当能够被一把符合要求的钥匙从外面开启；紧急开锁后，在层门闭合时门锁装置不应当保持开锁位置</w:t>
            </w:r>
          </w:p>
        </w:tc>
        <w:tc>
          <w:tcPr>
            <w:tcW w:w="6662" w:type="dxa"/>
            <w:shd w:val="clear" w:color="auto" w:fill="auto"/>
            <w:vAlign w:val="center"/>
          </w:tcPr>
          <w:p>
            <w:r>
              <w:t>抽取基站、端站以及20%其他层站的层门，用钥匙操作紧急开锁装置，验证其功能。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restart"/>
            <w:shd w:val="clear" w:color="auto" w:fill="auto"/>
            <w:vAlign w:val="center"/>
          </w:tcPr>
          <w:p>
            <w:pPr>
              <w:spacing w:line="280" w:lineRule="exact"/>
              <w:jc w:val="center"/>
              <w:rPr>
                <w:rFonts w:cs="宋体"/>
                <w:szCs w:val="21"/>
              </w:rPr>
            </w:pPr>
            <w:r>
              <w:rPr>
                <w:rFonts w:hint="eastAsia" w:cs="宋体"/>
                <w:szCs w:val="21"/>
              </w:rPr>
              <w:t>8</w:t>
            </w:r>
          </w:p>
        </w:tc>
        <w:tc>
          <w:tcPr>
            <w:tcW w:w="850" w:type="dxa"/>
            <w:vMerge w:val="restart"/>
            <w:shd w:val="clear" w:color="auto" w:fill="auto"/>
            <w:vAlign w:val="center"/>
          </w:tcPr>
          <w:p>
            <w:pPr>
              <w:spacing w:line="280" w:lineRule="exact"/>
              <w:jc w:val="center"/>
              <w:rPr>
                <w:rFonts w:cs="宋体"/>
                <w:szCs w:val="21"/>
              </w:rPr>
            </w:pPr>
            <w:r>
              <w:rPr>
                <w:rFonts w:hint="eastAsia" w:cs="宋体"/>
                <w:szCs w:val="21"/>
              </w:rPr>
              <w:t>6.9</w:t>
            </w:r>
          </w:p>
          <w:p>
            <w:pPr>
              <w:spacing w:line="280" w:lineRule="exact"/>
              <w:jc w:val="center"/>
              <w:rPr>
                <w:rFonts w:cs="宋体"/>
                <w:szCs w:val="21"/>
              </w:rPr>
            </w:pPr>
            <w:r>
              <w:rPr>
                <w:rFonts w:hint="eastAsia" w:cs="宋体"/>
                <w:szCs w:val="21"/>
              </w:rPr>
              <w:t>门的锁紧（B）</w:t>
            </w:r>
          </w:p>
        </w:tc>
        <w:tc>
          <w:tcPr>
            <w:tcW w:w="5529" w:type="dxa"/>
            <w:shd w:val="clear" w:color="auto" w:fill="auto"/>
            <w:vAlign w:val="center"/>
          </w:tcPr>
          <w:p>
            <w:pPr>
              <w:spacing w:line="280" w:lineRule="exact"/>
              <w:rPr>
                <w:rFonts w:cs="宋体"/>
                <w:szCs w:val="21"/>
              </w:rPr>
            </w:pPr>
            <w:r>
              <w:rPr>
                <w:rFonts w:hint="eastAsia" w:cs="宋体"/>
                <w:szCs w:val="21"/>
              </w:rPr>
              <w:t>(1)每个层门都应当设有符合下述要求的门锁装置：</w:t>
            </w:r>
          </w:p>
          <w:p>
            <w:pPr>
              <w:spacing w:line="280" w:lineRule="exact"/>
              <w:rPr>
                <w:rFonts w:cs="宋体"/>
                <w:szCs w:val="21"/>
              </w:rPr>
            </w:pPr>
            <w:r>
              <w:rPr>
                <w:rFonts w:hint="eastAsia" w:cs="宋体"/>
                <w:szCs w:val="21"/>
              </w:rPr>
              <w:t>②锁紧动作由重力、永久磁铁或者弹簧来产生和保持，即使永久磁铁或者弹簧失效，重力亦不能导致开锁；</w:t>
            </w:r>
          </w:p>
          <w:p>
            <w:pPr>
              <w:spacing w:line="280" w:lineRule="exact"/>
              <w:rPr>
                <w:rFonts w:cs="宋体"/>
                <w:szCs w:val="21"/>
              </w:rPr>
            </w:pPr>
            <w:r>
              <w:rPr>
                <w:rFonts w:hint="eastAsia" w:cs="宋体"/>
                <w:szCs w:val="21"/>
              </w:rPr>
              <w:t>③轿厢在锁紧元件啮合不小于7mm时才能启动；</w:t>
            </w:r>
          </w:p>
          <w:p>
            <w:pPr>
              <w:spacing w:line="280" w:lineRule="exact"/>
              <w:rPr>
                <w:rFonts w:cs="宋体"/>
                <w:szCs w:val="21"/>
              </w:rPr>
            </w:pPr>
            <w:r>
              <w:rPr>
                <w:rFonts w:hint="eastAsia" w:cs="宋体"/>
                <w:szCs w:val="21"/>
              </w:rPr>
              <w:t>④门的锁紧由一个电气安全装置来验证，该装置由锁紧元件强制操作而没有任何中间机构，并且能够防止误动作；</w:t>
            </w:r>
          </w:p>
        </w:tc>
        <w:tc>
          <w:tcPr>
            <w:tcW w:w="6662" w:type="dxa"/>
            <w:vMerge w:val="restart"/>
            <w:shd w:val="clear" w:color="auto" w:fill="auto"/>
            <w:vAlign w:val="center"/>
          </w:tcPr>
          <w:p>
            <w:pPr>
              <w:autoSpaceDE w:val="0"/>
              <w:autoSpaceDN w:val="0"/>
              <w:adjustRightInd w:val="0"/>
              <w:rPr>
                <w:rFonts w:cs="宋体"/>
                <w:szCs w:val="21"/>
              </w:rPr>
            </w:pPr>
            <w:r>
              <w:rPr>
                <w:rFonts w:hint="eastAsia" w:cs="宋体"/>
                <w:szCs w:val="21"/>
              </w:rPr>
              <w:t>(1)目测门锁及电气安全装置的设置；</w:t>
            </w:r>
          </w:p>
          <w:p>
            <w:pPr>
              <w:autoSpaceDE w:val="0"/>
              <w:autoSpaceDN w:val="0"/>
              <w:adjustRightInd w:val="0"/>
              <w:rPr>
                <w:rFonts w:cs="宋体"/>
                <w:szCs w:val="21"/>
              </w:rPr>
            </w:pPr>
            <w:r>
              <w:rPr>
                <w:rFonts w:hint="eastAsia" w:cs="宋体"/>
                <w:szCs w:val="21"/>
              </w:rPr>
              <w:t>(2)目测锁紧元件的啮合情况，认为啮合长度可能不足时测量电气触点刚闭合时锁紧元件的啮合长度；</w:t>
            </w:r>
          </w:p>
          <w:p>
            <w:pPr>
              <w:autoSpaceDE w:val="0"/>
              <w:autoSpaceDN w:val="0"/>
              <w:adjustRightInd w:val="0"/>
              <w:rPr>
                <w:rFonts w:cs="宋体"/>
                <w:szCs w:val="21"/>
              </w:rPr>
            </w:pPr>
            <w:r>
              <w:rPr>
                <w:rFonts w:hint="eastAsia" w:cs="宋体"/>
                <w:szCs w:val="21"/>
              </w:rPr>
              <w:t>(3)使电梯以检修速度运行，打开门锁，观察电梯是否停止。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shd w:val="clear" w:color="auto" w:fill="auto"/>
            <w:vAlign w:val="center"/>
          </w:tcPr>
          <w:p>
            <w:pPr>
              <w:spacing w:line="280" w:lineRule="exact"/>
              <w:jc w:val="center"/>
              <w:rPr>
                <w:rFonts w:cs="宋体"/>
                <w:szCs w:val="21"/>
              </w:rPr>
            </w:pPr>
          </w:p>
        </w:tc>
        <w:tc>
          <w:tcPr>
            <w:tcW w:w="850" w:type="dxa"/>
            <w:vMerge w:val="continue"/>
            <w:shd w:val="clear" w:color="auto" w:fill="auto"/>
            <w:vAlign w:val="center"/>
          </w:tcPr>
          <w:p>
            <w:pPr>
              <w:spacing w:line="280" w:lineRule="exact"/>
              <w:jc w:val="center"/>
              <w:rPr>
                <w:rFonts w:cs="宋体"/>
                <w:szCs w:val="21"/>
              </w:rPr>
            </w:pPr>
          </w:p>
        </w:tc>
        <w:tc>
          <w:tcPr>
            <w:tcW w:w="5529" w:type="dxa"/>
            <w:shd w:val="clear" w:color="auto" w:fill="auto"/>
          </w:tcPr>
          <w:p>
            <w:pPr>
              <w:spacing w:line="280" w:lineRule="exact"/>
              <w:rPr>
                <w:rFonts w:cs="宋体"/>
                <w:szCs w:val="21"/>
              </w:rPr>
            </w:pPr>
            <w:r>
              <w:rPr>
                <w:rFonts w:hint="eastAsia" w:cs="宋体"/>
                <w:szCs w:val="21"/>
              </w:rPr>
              <w:t>(2)如果轿门采用了门锁装置，该装置应当符合本条(1)的要求</w:t>
            </w:r>
          </w:p>
        </w:tc>
        <w:tc>
          <w:tcPr>
            <w:tcW w:w="6662" w:type="dxa"/>
            <w:vMerge w:val="continue"/>
            <w:shd w:val="clear" w:color="auto" w:fill="auto"/>
          </w:tcPr>
          <w:p>
            <w:pPr>
              <w:numPr>
                <w:ilvl w:val="0"/>
                <w:numId w:val="2"/>
              </w:numPr>
              <w:autoSpaceDE w:val="0"/>
              <w:autoSpaceDN w:val="0"/>
              <w:adjustRightInd w:val="0"/>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restart"/>
            <w:shd w:val="clear" w:color="auto" w:fill="auto"/>
            <w:vAlign w:val="center"/>
          </w:tcPr>
          <w:p>
            <w:pPr>
              <w:spacing w:line="280" w:lineRule="exact"/>
              <w:jc w:val="center"/>
              <w:rPr>
                <w:rFonts w:cs="宋体"/>
                <w:szCs w:val="21"/>
              </w:rPr>
            </w:pPr>
            <w:r>
              <w:rPr>
                <w:rFonts w:hint="eastAsia" w:cs="宋体"/>
                <w:szCs w:val="21"/>
              </w:rPr>
              <w:t>9</w:t>
            </w:r>
          </w:p>
        </w:tc>
        <w:tc>
          <w:tcPr>
            <w:tcW w:w="850" w:type="dxa"/>
            <w:vMerge w:val="restart"/>
            <w:shd w:val="clear" w:color="auto" w:fill="auto"/>
            <w:vAlign w:val="center"/>
          </w:tcPr>
          <w:p>
            <w:pPr>
              <w:spacing w:line="280" w:lineRule="exact"/>
              <w:jc w:val="center"/>
              <w:rPr>
                <w:rFonts w:cs="宋体"/>
                <w:szCs w:val="21"/>
              </w:rPr>
            </w:pPr>
            <w:r>
              <w:rPr>
                <w:rFonts w:hint="eastAsia" w:cs="宋体"/>
                <w:szCs w:val="21"/>
              </w:rPr>
              <w:t>6.10</w:t>
            </w:r>
          </w:p>
          <w:p>
            <w:pPr>
              <w:spacing w:line="280" w:lineRule="exact"/>
              <w:jc w:val="center"/>
              <w:rPr>
                <w:rFonts w:cs="宋体"/>
                <w:szCs w:val="21"/>
              </w:rPr>
            </w:pPr>
            <w:r>
              <w:rPr>
                <w:rFonts w:hint="eastAsia" w:cs="宋体"/>
                <w:szCs w:val="21"/>
              </w:rPr>
              <w:t>门</w:t>
            </w:r>
            <w:r>
              <w:rPr>
                <w:rFonts w:cs="宋体"/>
                <w:szCs w:val="21"/>
              </w:rPr>
              <w:t>的闭合</w:t>
            </w:r>
            <w:r>
              <w:rPr>
                <w:rFonts w:hint="eastAsia" w:cs="宋体"/>
                <w:szCs w:val="21"/>
              </w:rPr>
              <w:t>（B</w:t>
            </w:r>
            <w:r>
              <w:rPr>
                <w:rFonts w:cs="宋体"/>
                <w:szCs w:val="21"/>
              </w:rPr>
              <w:t>）</w:t>
            </w:r>
          </w:p>
        </w:tc>
        <w:tc>
          <w:tcPr>
            <w:tcW w:w="5529" w:type="dxa"/>
            <w:shd w:val="clear" w:color="auto" w:fill="auto"/>
            <w:vAlign w:val="center"/>
          </w:tcPr>
          <w:p>
            <w:pPr>
              <w:spacing w:line="280" w:lineRule="exact"/>
              <w:rPr>
                <w:rFonts w:cs="宋体"/>
                <w:szCs w:val="21"/>
              </w:rPr>
            </w:pPr>
            <w:r>
              <w:rPr>
                <w:rFonts w:hint="eastAsia" w:cs="宋体"/>
                <w:szCs w:val="21"/>
              </w:rPr>
              <w:t>(1)正常运行时应当不能打开层门，除非轿厢在该层门的开锁区域内停止或者停站；如果一个层门或者轿门(或者多扇门中的任何一扇门)开着，在正常操作情况下，应当不能启动电梯或者不能保持继续运行</w:t>
            </w:r>
          </w:p>
        </w:tc>
        <w:tc>
          <w:tcPr>
            <w:tcW w:w="6662" w:type="dxa"/>
            <w:vMerge w:val="restart"/>
            <w:shd w:val="clear" w:color="auto" w:fill="auto"/>
            <w:vAlign w:val="center"/>
          </w:tcPr>
          <w:p>
            <w:pPr>
              <w:autoSpaceDE w:val="0"/>
              <w:autoSpaceDN w:val="0"/>
              <w:adjustRightInd w:val="0"/>
              <w:rPr>
                <w:rFonts w:cs="宋体"/>
                <w:szCs w:val="21"/>
              </w:rPr>
            </w:pPr>
            <w:r>
              <w:rPr>
                <w:rFonts w:hint="eastAsia" w:cs="宋体"/>
                <w:szCs w:val="21"/>
              </w:rPr>
              <w:t>(1)使电梯以检修速度运行，打开层门，检查电梯是否停止；</w:t>
            </w:r>
          </w:p>
          <w:p>
            <w:pPr>
              <w:autoSpaceDE w:val="0"/>
              <w:autoSpaceDN w:val="0"/>
              <w:adjustRightInd w:val="0"/>
              <w:rPr>
                <w:rFonts w:cs="宋体"/>
                <w:szCs w:val="21"/>
              </w:rPr>
            </w:pPr>
            <w:r>
              <w:rPr>
                <w:rFonts w:hint="eastAsia" w:cs="宋体"/>
                <w:szCs w:val="21"/>
              </w:rPr>
              <w:t>(2)将电梯置于检修状态，层门关闭，打开轿门，观察电梯能否运行；</w:t>
            </w:r>
          </w:p>
          <w:p>
            <w:pPr>
              <w:autoSpaceDE w:val="0"/>
              <w:autoSpaceDN w:val="0"/>
              <w:adjustRightInd w:val="0"/>
              <w:rPr>
                <w:rFonts w:cs="宋体"/>
                <w:szCs w:val="21"/>
              </w:rPr>
            </w:pPr>
            <w:r>
              <w:rPr>
                <w:rFonts w:hint="eastAsia" w:cs="宋体"/>
                <w:szCs w:val="21"/>
              </w:rPr>
              <w:t>(3)对于由数个间接机械连接的门扇组成的滑动门，抽取轿门和基站、端站以及至少20%其他层站的层门，短接被锁住门扇上的电气安全装置，使各门扇均打开，观察电梯能否运行。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shd w:val="clear" w:color="auto" w:fill="auto"/>
            <w:vAlign w:val="center"/>
          </w:tcPr>
          <w:p>
            <w:pPr>
              <w:spacing w:line="280" w:lineRule="exact"/>
              <w:jc w:val="center"/>
              <w:rPr>
                <w:rFonts w:cs="宋体"/>
                <w:szCs w:val="21"/>
              </w:rPr>
            </w:pPr>
          </w:p>
        </w:tc>
        <w:tc>
          <w:tcPr>
            <w:tcW w:w="850" w:type="dxa"/>
            <w:vMerge w:val="continue"/>
            <w:shd w:val="clear" w:color="auto" w:fill="auto"/>
            <w:vAlign w:val="center"/>
          </w:tcPr>
          <w:p>
            <w:pPr>
              <w:spacing w:line="280" w:lineRule="exact"/>
              <w:jc w:val="center"/>
              <w:rPr>
                <w:rFonts w:cs="宋体"/>
                <w:szCs w:val="21"/>
              </w:rPr>
            </w:pPr>
          </w:p>
        </w:tc>
        <w:tc>
          <w:tcPr>
            <w:tcW w:w="5529" w:type="dxa"/>
            <w:shd w:val="clear" w:color="auto" w:fill="auto"/>
          </w:tcPr>
          <w:p>
            <w:pPr>
              <w:spacing w:line="280" w:lineRule="exact"/>
              <w:rPr>
                <w:rFonts w:cs="宋体"/>
                <w:szCs w:val="21"/>
              </w:rPr>
            </w:pPr>
            <w:r>
              <w:rPr>
                <w:rFonts w:hint="eastAsia" w:cs="宋体"/>
                <w:szCs w:val="21"/>
              </w:rPr>
              <w:t>(2)每个层门和轿门的闭合都应当由电气安全装置来验证，如果滑动门是由数个间接机械连接的门扇组成，则未被锁住的门扇上也应当设置电气安全装置以验证其闭合状态</w:t>
            </w:r>
          </w:p>
        </w:tc>
        <w:tc>
          <w:tcPr>
            <w:tcW w:w="6662" w:type="dxa"/>
            <w:vMerge w:val="continue"/>
            <w:shd w:val="clear" w:color="auto" w:fill="auto"/>
          </w:tcPr>
          <w:p>
            <w:pPr>
              <w:autoSpaceDE w:val="0"/>
              <w:autoSpaceDN w:val="0"/>
              <w:adjustRightInd w:val="0"/>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60" w:type="dxa"/>
            <w:shd w:val="clear" w:color="auto" w:fill="auto"/>
            <w:vAlign w:val="center"/>
          </w:tcPr>
          <w:p>
            <w:pPr>
              <w:spacing w:line="280" w:lineRule="exact"/>
              <w:jc w:val="center"/>
              <w:rPr>
                <w:rFonts w:cs="宋体"/>
                <w:szCs w:val="21"/>
              </w:rPr>
            </w:pPr>
            <w:r>
              <w:rPr>
                <w:rFonts w:hint="eastAsia" w:cs="宋体"/>
                <w:szCs w:val="21"/>
              </w:rPr>
              <w:t>10</w:t>
            </w:r>
          </w:p>
        </w:tc>
        <w:tc>
          <w:tcPr>
            <w:tcW w:w="850" w:type="dxa"/>
            <w:shd w:val="clear" w:color="auto" w:fill="auto"/>
            <w:vAlign w:val="center"/>
          </w:tcPr>
          <w:p>
            <w:pPr>
              <w:spacing w:line="260" w:lineRule="exact"/>
              <w:jc w:val="center"/>
              <w:rPr>
                <w:rFonts w:cs="宋体"/>
                <w:szCs w:val="21"/>
              </w:rPr>
            </w:pPr>
            <w:r>
              <w:rPr>
                <w:rFonts w:hint="eastAsia" w:cs="宋体"/>
                <w:szCs w:val="21"/>
              </w:rPr>
              <w:t>2.9</w:t>
            </w:r>
          </w:p>
          <w:p>
            <w:pPr>
              <w:spacing w:line="260" w:lineRule="exact"/>
              <w:jc w:val="center"/>
              <w:rPr>
                <w:rFonts w:cs="宋体"/>
                <w:szCs w:val="21"/>
              </w:rPr>
            </w:pPr>
            <w:r>
              <w:rPr>
                <w:rFonts w:hint="eastAsia" w:cs="宋体"/>
                <w:szCs w:val="21"/>
              </w:rPr>
              <w:t>限速器（B</w:t>
            </w:r>
            <w:r>
              <w:rPr>
                <w:rFonts w:cs="宋体"/>
                <w:szCs w:val="21"/>
              </w:rPr>
              <w:t>）</w:t>
            </w:r>
          </w:p>
        </w:tc>
        <w:tc>
          <w:tcPr>
            <w:tcW w:w="5529" w:type="dxa"/>
            <w:shd w:val="clear" w:color="auto" w:fill="auto"/>
            <w:vAlign w:val="center"/>
          </w:tcPr>
          <w:p>
            <w:pPr>
              <w:rPr>
                <w:rFonts w:cs="宋体"/>
                <w:szCs w:val="21"/>
              </w:rPr>
            </w:pPr>
            <w:r>
              <w:rPr>
                <w:rFonts w:hint="eastAsia" w:cs="宋体"/>
                <w:szCs w:val="21"/>
              </w:rPr>
              <w:t>限速器各调节部位封记完好，运转时不得出现碰擦、卡阻、转动不灵活等现象，动作正常。</w:t>
            </w:r>
          </w:p>
        </w:tc>
        <w:tc>
          <w:tcPr>
            <w:tcW w:w="6662" w:type="dxa"/>
            <w:shd w:val="clear" w:color="auto" w:fill="auto"/>
            <w:vAlign w:val="center"/>
          </w:tcPr>
          <w:p>
            <w:pPr>
              <w:autoSpaceDE w:val="0"/>
              <w:autoSpaceDN w:val="0"/>
              <w:adjustRightInd w:val="0"/>
              <w:rPr>
                <w:rFonts w:cs="宋体"/>
                <w:szCs w:val="21"/>
              </w:rPr>
            </w:pPr>
            <w:r>
              <w:rPr>
                <w:rFonts w:hint="eastAsia" w:cs="宋体"/>
                <w:szCs w:val="21"/>
              </w:rPr>
              <w:t>目测调节部位封记和限速器运转情况，结合“轿厢限速器-安全钳试验”的试验结果，判断限速器动作是否正常。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spacing w:line="280" w:lineRule="exact"/>
              <w:jc w:val="center"/>
              <w:rPr>
                <w:rFonts w:cs="宋体"/>
                <w:szCs w:val="21"/>
              </w:rPr>
            </w:pPr>
            <w:r>
              <w:rPr>
                <w:rFonts w:hint="eastAsia" w:cs="宋体"/>
                <w:szCs w:val="21"/>
              </w:rPr>
              <w:t>11</w:t>
            </w:r>
          </w:p>
        </w:tc>
        <w:tc>
          <w:tcPr>
            <w:tcW w:w="850" w:type="dxa"/>
            <w:shd w:val="clear" w:color="auto" w:fill="auto"/>
            <w:vAlign w:val="center"/>
          </w:tcPr>
          <w:p>
            <w:pPr>
              <w:spacing w:line="240" w:lineRule="exact"/>
              <w:jc w:val="center"/>
              <w:rPr>
                <w:rFonts w:cs="宋体"/>
                <w:szCs w:val="21"/>
              </w:rPr>
            </w:pPr>
            <w:r>
              <w:rPr>
                <w:rFonts w:hint="eastAsia" w:cs="宋体"/>
                <w:szCs w:val="21"/>
              </w:rPr>
              <w:t>8.4</w:t>
            </w:r>
          </w:p>
          <w:p>
            <w:pPr>
              <w:spacing w:line="240" w:lineRule="exact"/>
              <w:ind w:left="-105" w:leftChars="-50" w:right="-105" w:rightChars="-50"/>
              <w:jc w:val="center"/>
              <w:rPr>
                <w:rFonts w:cs="宋体"/>
                <w:szCs w:val="21"/>
              </w:rPr>
            </w:pPr>
            <w:r>
              <w:rPr>
                <w:rFonts w:hint="eastAsia" w:cs="宋体"/>
                <w:szCs w:val="21"/>
              </w:rPr>
              <w:t>轿厢限速器－安全钳试验(B)</w:t>
            </w:r>
          </w:p>
        </w:tc>
        <w:tc>
          <w:tcPr>
            <w:tcW w:w="5529" w:type="dxa"/>
            <w:shd w:val="clear" w:color="auto" w:fill="auto"/>
            <w:vAlign w:val="center"/>
          </w:tcPr>
          <w:p>
            <w:pPr>
              <w:autoSpaceDE w:val="0"/>
              <w:autoSpaceDN w:val="0"/>
              <w:spacing w:line="280" w:lineRule="exact"/>
              <w:rPr>
                <w:rFonts w:cs="宋体"/>
                <w:szCs w:val="21"/>
              </w:rPr>
            </w:pPr>
            <w:r>
              <w:rPr>
                <w:rFonts w:hint="eastAsia" w:cs="宋体"/>
                <w:szCs w:val="21"/>
              </w:rPr>
              <w:t>轿厢空载，以检修速度下行，进行限速器-安全钳联动试验，限速器、安全钳动作应当可靠。</w:t>
            </w:r>
          </w:p>
        </w:tc>
        <w:tc>
          <w:tcPr>
            <w:tcW w:w="6662" w:type="dxa"/>
            <w:shd w:val="clear" w:color="auto" w:fill="auto"/>
          </w:tcPr>
          <w:p>
            <w:pPr>
              <w:spacing w:before="156" w:beforeLines="50" w:line="280" w:lineRule="exact"/>
              <w:rPr>
                <w:rFonts w:cs="宋体"/>
                <w:szCs w:val="21"/>
              </w:rPr>
            </w:pPr>
            <w:r>
              <w:rPr>
                <w:rFonts w:hint="eastAsia" w:cs="宋体"/>
                <w:szCs w:val="21"/>
              </w:rPr>
              <w:t>轿厢空载以检修速度运行，人为分别使限速器和安全钳的电气安全装置动作，观察轿厢是否停止运行；然后短接限速器和安全钳的电气安全装置，轿厢空载以检修速度向下运行，人为动作限速器，观察轿厢制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560" w:type="dxa"/>
            <w:vMerge w:val="restart"/>
            <w:shd w:val="clear" w:color="auto" w:fill="auto"/>
            <w:vAlign w:val="center"/>
          </w:tcPr>
          <w:p>
            <w:pPr>
              <w:spacing w:line="280" w:lineRule="exact"/>
              <w:ind w:firstLine="105" w:firstLineChars="50"/>
              <w:rPr>
                <w:rFonts w:cs="宋体"/>
                <w:szCs w:val="21"/>
              </w:rPr>
            </w:pPr>
            <w:r>
              <w:rPr>
                <w:rFonts w:hint="eastAsia" w:cs="宋体"/>
                <w:szCs w:val="21"/>
              </w:rPr>
              <w:t>12</w:t>
            </w:r>
          </w:p>
        </w:tc>
        <w:tc>
          <w:tcPr>
            <w:tcW w:w="850" w:type="dxa"/>
            <w:vMerge w:val="restart"/>
            <w:shd w:val="clear" w:color="auto" w:fill="auto"/>
            <w:vAlign w:val="center"/>
          </w:tcPr>
          <w:p>
            <w:pPr>
              <w:spacing w:line="240" w:lineRule="exact"/>
              <w:jc w:val="center"/>
              <w:rPr>
                <w:rFonts w:cs="宋体"/>
                <w:szCs w:val="21"/>
              </w:rPr>
            </w:pPr>
            <w:r>
              <w:rPr>
                <w:rFonts w:hint="eastAsia" w:cs="宋体"/>
                <w:szCs w:val="21"/>
              </w:rPr>
              <w:t>8.7</w:t>
            </w:r>
          </w:p>
          <w:p>
            <w:pPr>
              <w:spacing w:line="240" w:lineRule="exact"/>
              <w:jc w:val="center"/>
              <w:rPr>
                <w:rFonts w:cs="宋体"/>
                <w:szCs w:val="21"/>
              </w:rPr>
            </w:pPr>
            <w:r>
              <w:rPr>
                <w:rFonts w:hint="eastAsia" w:cs="宋体"/>
                <w:szCs w:val="21"/>
              </w:rPr>
              <w:t>应急救援试验</w:t>
            </w:r>
          </w:p>
          <w:p>
            <w:pPr>
              <w:spacing w:line="240" w:lineRule="exact"/>
              <w:jc w:val="center"/>
              <w:rPr>
                <w:rFonts w:cs="宋体"/>
                <w:szCs w:val="21"/>
              </w:rPr>
            </w:pPr>
            <w:r>
              <w:rPr>
                <w:rFonts w:hint="eastAsia" w:cs="宋体"/>
                <w:szCs w:val="21"/>
              </w:rPr>
              <w:t>（B）</w:t>
            </w:r>
          </w:p>
        </w:tc>
        <w:tc>
          <w:tcPr>
            <w:tcW w:w="5529" w:type="dxa"/>
            <w:shd w:val="clear" w:color="auto" w:fill="auto"/>
            <w:vAlign w:val="center"/>
          </w:tcPr>
          <w:p>
            <w:pPr>
              <w:spacing w:line="280" w:lineRule="exact"/>
              <w:rPr>
                <w:rFonts w:cs="宋体"/>
                <w:szCs w:val="21"/>
              </w:rPr>
            </w:pPr>
            <w:r>
              <w:rPr>
                <w:rFonts w:hint="eastAsia" w:cs="宋体"/>
                <w:szCs w:val="21"/>
              </w:rPr>
              <w:t>(1)在机房内或者紧急操作和动态测试装置上设有明晰的应急救援程序</w:t>
            </w:r>
          </w:p>
        </w:tc>
        <w:tc>
          <w:tcPr>
            <w:tcW w:w="6662" w:type="dxa"/>
            <w:vMerge w:val="restart"/>
            <w:shd w:val="clear" w:color="auto" w:fill="auto"/>
            <w:vAlign w:val="center"/>
          </w:tcPr>
          <w:p>
            <w:pPr>
              <w:spacing w:line="280" w:lineRule="exact"/>
              <w:rPr>
                <w:rFonts w:cs="宋体"/>
                <w:szCs w:val="21"/>
              </w:rPr>
            </w:pPr>
            <w:r>
              <w:rPr>
                <w:rFonts w:hint="eastAsia" w:cs="宋体"/>
                <w:szCs w:val="21"/>
              </w:rPr>
              <w:t>(1)目测；</w:t>
            </w:r>
          </w:p>
          <w:p>
            <w:pPr>
              <w:spacing w:line="280" w:lineRule="exact"/>
              <w:rPr>
                <w:rFonts w:cs="宋体"/>
                <w:szCs w:val="21"/>
              </w:rPr>
            </w:pPr>
            <w:r>
              <w:rPr>
                <w:rFonts w:hint="eastAsia" w:cs="宋体"/>
                <w:szCs w:val="21"/>
              </w:rPr>
              <w:t>(2)在空载工况下，模拟停电和停梯故障，按照相应的应急救援程序进行操作。由维护保养单位进行操作，检验人员现场观察、确认。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560" w:type="dxa"/>
            <w:vMerge w:val="continue"/>
            <w:shd w:val="clear" w:color="auto" w:fill="auto"/>
            <w:vAlign w:val="center"/>
          </w:tcPr>
          <w:p>
            <w:pPr>
              <w:spacing w:line="280" w:lineRule="exact"/>
              <w:ind w:firstLine="105" w:firstLineChars="50"/>
              <w:rPr>
                <w:rFonts w:cs="宋体"/>
                <w:szCs w:val="21"/>
              </w:rPr>
            </w:pPr>
          </w:p>
        </w:tc>
        <w:tc>
          <w:tcPr>
            <w:tcW w:w="850" w:type="dxa"/>
            <w:vMerge w:val="continue"/>
            <w:shd w:val="clear" w:color="auto" w:fill="auto"/>
            <w:vAlign w:val="center"/>
          </w:tcPr>
          <w:p>
            <w:pPr>
              <w:spacing w:line="240" w:lineRule="exact"/>
              <w:jc w:val="center"/>
              <w:rPr>
                <w:rFonts w:cs="宋体"/>
                <w:szCs w:val="21"/>
              </w:rPr>
            </w:pPr>
          </w:p>
        </w:tc>
        <w:tc>
          <w:tcPr>
            <w:tcW w:w="5529" w:type="dxa"/>
            <w:shd w:val="clear" w:color="auto" w:fill="auto"/>
            <w:vAlign w:val="center"/>
          </w:tcPr>
          <w:p>
            <w:pPr>
              <w:spacing w:line="280" w:lineRule="exact"/>
              <w:rPr>
                <w:rFonts w:cs="宋体"/>
                <w:szCs w:val="21"/>
              </w:rPr>
            </w:pPr>
            <w:r>
              <w:rPr>
                <w:rFonts w:hint="eastAsia" w:cs="宋体"/>
                <w:szCs w:val="21"/>
              </w:rPr>
              <w:t>(2)在各种载荷工况下，按照本条(1)所述的应急救援程序实施操作，能够安全、及时地解救被困人员</w:t>
            </w:r>
          </w:p>
        </w:tc>
        <w:tc>
          <w:tcPr>
            <w:tcW w:w="6662" w:type="dxa"/>
            <w:vMerge w:val="continue"/>
            <w:shd w:val="clear" w:color="auto" w:fill="auto"/>
            <w:vAlign w:val="center"/>
          </w:tcPr>
          <w:p>
            <w:pPr>
              <w:spacing w:line="280" w:lineRule="exact"/>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spacing w:line="280" w:lineRule="exact"/>
              <w:jc w:val="center"/>
              <w:rPr>
                <w:rFonts w:cs="宋体"/>
                <w:szCs w:val="21"/>
              </w:rPr>
            </w:pPr>
            <w:r>
              <w:rPr>
                <w:rFonts w:hint="eastAsia" w:cs="宋体"/>
                <w:szCs w:val="21"/>
              </w:rPr>
              <w:t>13</w:t>
            </w:r>
          </w:p>
        </w:tc>
        <w:tc>
          <w:tcPr>
            <w:tcW w:w="850" w:type="dxa"/>
            <w:shd w:val="clear" w:color="auto" w:fill="auto"/>
            <w:vAlign w:val="center"/>
          </w:tcPr>
          <w:p>
            <w:pPr>
              <w:spacing w:line="240" w:lineRule="exact"/>
              <w:jc w:val="center"/>
              <w:rPr>
                <w:rFonts w:cs="宋体"/>
                <w:szCs w:val="21"/>
              </w:rPr>
            </w:pPr>
            <w:r>
              <w:rPr>
                <w:rFonts w:hint="eastAsia" w:cs="宋体"/>
                <w:szCs w:val="21"/>
              </w:rPr>
              <w:t>8.10</w:t>
            </w:r>
          </w:p>
          <w:p>
            <w:pPr>
              <w:spacing w:line="240" w:lineRule="exact"/>
              <w:jc w:val="center"/>
              <w:rPr>
                <w:rFonts w:cs="宋体"/>
                <w:szCs w:val="21"/>
              </w:rPr>
            </w:pPr>
            <w:r>
              <w:rPr>
                <w:rFonts w:hint="eastAsia" w:cs="宋体"/>
                <w:szCs w:val="21"/>
              </w:rPr>
              <w:t>上行制动工况曳引检查（B）</w:t>
            </w:r>
          </w:p>
        </w:tc>
        <w:tc>
          <w:tcPr>
            <w:tcW w:w="5529" w:type="dxa"/>
            <w:shd w:val="clear" w:color="auto" w:fill="auto"/>
            <w:vAlign w:val="center"/>
          </w:tcPr>
          <w:p>
            <w:pPr>
              <w:spacing w:line="280" w:lineRule="exact"/>
              <w:rPr>
                <w:rFonts w:cs="宋体"/>
                <w:szCs w:val="21"/>
              </w:rPr>
            </w:pPr>
            <w:r>
              <w:rPr>
                <w:rFonts w:hint="eastAsia" w:cs="宋体"/>
                <w:szCs w:val="21"/>
              </w:rPr>
              <w:t>轿厢空载以正常运行速度上行至行程上部，切断电动机与制动器供电，轿厢应当完全停止。</w:t>
            </w:r>
          </w:p>
        </w:tc>
        <w:tc>
          <w:tcPr>
            <w:tcW w:w="6662" w:type="dxa"/>
            <w:shd w:val="clear" w:color="auto" w:fill="auto"/>
            <w:vAlign w:val="center"/>
          </w:tcPr>
          <w:p>
            <w:pPr>
              <w:spacing w:line="280" w:lineRule="exact"/>
              <w:rPr>
                <w:rFonts w:cs="宋体"/>
                <w:szCs w:val="21"/>
              </w:rPr>
            </w:pPr>
            <w:r>
              <w:rPr>
                <w:rFonts w:hint="eastAsia" w:cs="宋体"/>
                <w:szCs w:val="21"/>
              </w:rPr>
              <w:t>轿厢空载以正常运行速度上行至行程上部时，断开主开关，检查轿厢停止情况。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spacing w:line="280" w:lineRule="exact"/>
              <w:jc w:val="center"/>
              <w:rPr>
                <w:rFonts w:cs="宋体"/>
                <w:szCs w:val="21"/>
              </w:rPr>
            </w:pPr>
            <w:r>
              <w:rPr>
                <w:rFonts w:hint="eastAsia" w:cs="宋体"/>
                <w:szCs w:val="21"/>
              </w:rPr>
              <w:t>14</w:t>
            </w:r>
          </w:p>
        </w:tc>
        <w:tc>
          <w:tcPr>
            <w:tcW w:w="850" w:type="dxa"/>
            <w:shd w:val="clear" w:color="auto" w:fill="auto"/>
            <w:vAlign w:val="center"/>
          </w:tcPr>
          <w:p>
            <w:pPr>
              <w:spacing w:line="280" w:lineRule="exact"/>
              <w:jc w:val="center"/>
              <w:rPr>
                <w:bCs/>
                <w:szCs w:val="21"/>
              </w:rPr>
            </w:pPr>
            <w:r>
              <w:rPr>
                <w:rFonts w:hint="eastAsia"/>
                <w:bCs/>
                <w:szCs w:val="21"/>
              </w:rPr>
              <w:t>停止</w:t>
            </w:r>
          </w:p>
          <w:p>
            <w:pPr>
              <w:spacing w:line="280" w:lineRule="exact"/>
              <w:jc w:val="center"/>
              <w:rPr>
                <w:bCs/>
                <w:szCs w:val="21"/>
              </w:rPr>
            </w:pPr>
            <w:r>
              <w:rPr>
                <w:rFonts w:hint="eastAsia"/>
                <w:bCs/>
                <w:szCs w:val="21"/>
              </w:rPr>
              <w:t>装置</w:t>
            </w:r>
          </w:p>
          <w:p>
            <w:pPr>
              <w:spacing w:line="280" w:lineRule="exact"/>
              <w:jc w:val="center"/>
              <w:rPr>
                <w:rFonts w:cs="宋体"/>
                <w:szCs w:val="21"/>
              </w:rPr>
            </w:pPr>
            <w:r>
              <w:rPr>
                <w:rFonts w:hint="eastAsia"/>
                <w:bCs/>
                <w:szCs w:val="21"/>
              </w:rPr>
              <w:t>（C）</w:t>
            </w:r>
          </w:p>
        </w:tc>
        <w:tc>
          <w:tcPr>
            <w:tcW w:w="5529" w:type="dxa"/>
            <w:shd w:val="clear" w:color="auto" w:fill="auto"/>
            <w:vAlign w:val="center"/>
          </w:tcPr>
          <w:p>
            <w:pPr>
              <w:spacing w:line="280" w:lineRule="exact"/>
              <w:rPr>
                <w:bCs/>
                <w:kern w:val="0"/>
                <w:szCs w:val="21"/>
              </w:rPr>
            </w:pPr>
            <w:r>
              <w:rPr>
                <w:rFonts w:hint="eastAsia"/>
                <w:bCs/>
                <w:kern w:val="0"/>
                <w:szCs w:val="21"/>
              </w:rPr>
              <w:t>应当在以下位置装设易于接近且方便操作的停止装置：</w:t>
            </w:r>
          </w:p>
          <w:p>
            <w:pPr>
              <w:spacing w:line="280" w:lineRule="exact"/>
              <w:rPr>
                <w:bCs/>
                <w:kern w:val="0"/>
                <w:szCs w:val="21"/>
              </w:rPr>
            </w:pPr>
            <w:r>
              <w:rPr>
                <w:rFonts w:hint="eastAsia"/>
                <w:bCs/>
                <w:kern w:val="0"/>
                <w:szCs w:val="21"/>
              </w:rPr>
              <w:t>a.</w:t>
            </w:r>
            <w:r>
              <w:rPr>
                <w:bCs/>
                <w:kern w:val="0"/>
                <w:szCs w:val="21"/>
              </w:rPr>
              <w:t>轿顶</w:t>
            </w:r>
            <w:r>
              <w:rPr>
                <w:rFonts w:hint="eastAsia"/>
                <w:bCs/>
                <w:kern w:val="0"/>
                <w:szCs w:val="21"/>
              </w:rPr>
              <w:t>；</w:t>
            </w:r>
          </w:p>
          <w:p>
            <w:pPr>
              <w:spacing w:line="280" w:lineRule="exact"/>
              <w:rPr>
                <w:bCs/>
                <w:kern w:val="0"/>
                <w:szCs w:val="21"/>
              </w:rPr>
            </w:pPr>
            <w:r>
              <w:rPr>
                <w:rFonts w:hint="eastAsia"/>
                <w:bCs/>
                <w:kern w:val="0"/>
                <w:szCs w:val="21"/>
              </w:rPr>
              <w:t>b.</w:t>
            </w:r>
            <w:r>
              <w:rPr>
                <w:bCs/>
                <w:kern w:val="0"/>
                <w:szCs w:val="21"/>
              </w:rPr>
              <w:t>进入底坑时和底坑地面上</w:t>
            </w:r>
            <w:r>
              <w:rPr>
                <w:rFonts w:hint="eastAsia"/>
                <w:bCs/>
                <w:kern w:val="0"/>
                <w:szCs w:val="21"/>
              </w:rPr>
              <w:t>。</w:t>
            </w:r>
          </w:p>
          <w:p>
            <w:pPr>
              <w:spacing w:line="280" w:lineRule="exact"/>
              <w:rPr>
                <w:bCs/>
                <w:kern w:val="0"/>
                <w:szCs w:val="21"/>
              </w:rPr>
            </w:pPr>
            <w:r>
              <w:rPr>
                <w:bCs/>
                <w:kern w:val="0"/>
                <w:szCs w:val="21"/>
              </w:rPr>
              <w:t>当</w:t>
            </w:r>
            <w:r>
              <w:rPr>
                <w:rFonts w:hint="eastAsia"/>
                <w:bCs/>
                <w:kern w:val="0"/>
                <w:szCs w:val="21"/>
              </w:rPr>
              <w:t>上述停止</w:t>
            </w:r>
            <w:r>
              <w:rPr>
                <w:bCs/>
                <w:kern w:val="0"/>
                <w:szCs w:val="21"/>
              </w:rPr>
              <w:t>装置中的某一个动作时，应防止电梯驱动主机启动或立即使其停止运行，制动器的电源也应被切断。</w:t>
            </w:r>
          </w:p>
        </w:tc>
        <w:tc>
          <w:tcPr>
            <w:tcW w:w="6662" w:type="dxa"/>
            <w:shd w:val="clear" w:color="auto" w:fill="auto"/>
            <w:vAlign w:val="center"/>
          </w:tcPr>
          <w:p>
            <w:pPr>
              <w:autoSpaceDE w:val="0"/>
              <w:autoSpaceDN w:val="0"/>
              <w:adjustRightInd w:val="0"/>
              <w:spacing w:before="156" w:beforeLines="50"/>
              <w:jc w:val="left"/>
              <w:rPr>
                <w:kern w:val="0"/>
                <w:szCs w:val="21"/>
              </w:rPr>
            </w:pPr>
            <w:r>
              <w:rPr>
                <w:kern w:val="0"/>
                <w:szCs w:val="21"/>
              </w:rPr>
              <w:t>分别</w:t>
            </w:r>
            <w:r>
              <w:rPr>
                <w:rFonts w:hint="eastAsia"/>
                <w:kern w:val="0"/>
                <w:szCs w:val="21"/>
              </w:rPr>
              <w:t>检查轿顶和底坑的停止</w:t>
            </w:r>
            <w:r>
              <w:rPr>
                <w:kern w:val="0"/>
                <w:szCs w:val="21"/>
              </w:rPr>
              <w:t>装置，验证</w:t>
            </w:r>
            <w:r>
              <w:rPr>
                <w:rFonts w:hint="eastAsia"/>
                <w:kern w:val="0"/>
                <w:szCs w:val="21"/>
              </w:rPr>
              <w:t>其</w:t>
            </w:r>
            <w:r>
              <w:rPr>
                <w:kern w:val="0"/>
                <w:szCs w:val="21"/>
              </w:rPr>
              <w:t>是否有效。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shd w:val="clear" w:color="auto" w:fill="auto"/>
            <w:vAlign w:val="center"/>
          </w:tcPr>
          <w:p>
            <w:pPr>
              <w:jc w:val="center"/>
            </w:pPr>
            <w:r>
              <w:rPr>
                <w:rFonts w:hint="eastAsia"/>
              </w:rPr>
              <w:t>15</w:t>
            </w:r>
          </w:p>
        </w:tc>
        <w:tc>
          <w:tcPr>
            <w:tcW w:w="850" w:type="dxa"/>
            <w:shd w:val="clear" w:color="auto" w:fill="auto"/>
            <w:vAlign w:val="center"/>
          </w:tcPr>
          <w:p>
            <w:pPr>
              <w:spacing w:line="240" w:lineRule="exact"/>
            </w:pPr>
            <w:r>
              <w:t>维护保养记录与标志</w:t>
            </w:r>
          </w:p>
          <w:p>
            <w:pPr>
              <w:spacing w:line="240" w:lineRule="exact"/>
            </w:pPr>
            <w:r>
              <w:rPr>
                <w:rFonts w:hint="eastAsia"/>
              </w:rPr>
              <w:t>（C）</w:t>
            </w:r>
          </w:p>
        </w:tc>
        <w:tc>
          <w:tcPr>
            <w:tcW w:w="5529" w:type="dxa"/>
            <w:shd w:val="clear" w:color="auto" w:fill="auto"/>
            <w:vAlign w:val="center"/>
          </w:tcPr>
          <w:p>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t>电梯每十五日不得少于一次维护保养，按规定填写维护保养记录、出具维护保养标志，并经使用单位确认。</w:t>
            </w:r>
          </w:p>
          <w:p>
            <w:r>
              <w:rPr>
                <w:color w:val="333333"/>
                <w:szCs w:val="21"/>
              </w:rPr>
              <w:fldChar w:fldCharType="begin"/>
            </w:r>
            <w:r>
              <w:rPr>
                <w:color w:val="333333"/>
                <w:szCs w:val="21"/>
              </w:rPr>
              <w:instrText xml:space="preserve"> </w:instrText>
            </w:r>
            <w:r>
              <w:rPr>
                <w:rFonts w:hint="eastAsia"/>
                <w:color w:val="333333"/>
                <w:szCs w:val="21"/>
              </w:rPr>
              <w:instrText xml:space="preserve">= 2 \* GB3</w:instrText>
            </w:r>
            <w:r>
              <w:rPr>
                <w:color w:val="333333"/>
                <w:szCs w:val="21"/>
              </w:rPr>
              <w:instrText xml:space="preserve"> </w:instrText>
            </w:r>
            <w:r>
              <w:rPr>
                <w:color w:val="333333"/>
                <w:szCs w:val="21"/>
              </w:rPr>
              <w:fldChar w:fldCharType="separate"/>
            </w:r>
            <w:r>
              <w:rPr>
                <w:rFonts w:hint="eastAsia"/>
                <w:color w:val="333333"/>
                <w:szCs w:val="21"/>
              </w:rPr>
              <w:t>②</w:t>
            </w:r>
            <w:r>
              <w:rPr>
                <w:color w:val="333333"/>
                <w:szCs w:val="21"/>
              </w:rPr>
              <w:fldChar w:fldCharType="end"/>
            </w:r>
            <w:r>
              <w:rPr>
                <w:rFonts w:hint="eastAsia"/>
                <w:color w:val="333333"/>
                <w:szCs w:val="21"/>
              </w:rPr>
              <w:t>电梯维护保养单位在维护保养结束前，对维护保养质量进行复核。</w:t>
            </w:r>
          </w:p>
        </w:tc>
        <w:tc>
          <w:tcPr>
            <w:tcW w:w="6662" w:type="dxa"/>
            <w:shd w:val="clear" w:color="auto" w:fill="auto"/>
            <w:vAlign w:val="center"/>
          </w:tcPr>
          <w:p>
            <w:r>
              <w:t>检查资料是否按规定交接给使用单位，资料是否完整有效。</w:t>
            </w:r>
            <w:r>
              <w:rPr>
                <w:rFonts w:hint="eastAsia"/>
              </w:rPr>
              <w:t>检查维护保养记录是否有复核人员的签字。</w:t>
            </w:r>
          </w:p>
          <w:p>
            <w:r>
              <w:rPr>
                <w:rFonts w:hint="eastAsia"/>
              </w:rPr>
              <w:t>【补充说明】</w:t>
            </w:r>
            <w:r>
              <w:rPr>
                <w:rFonts w:cs="宋体"/>
                <w:szCs w:val="21"/>
              </w:rPr>
              <w:t>《</w:t>
            </w:r>
            <w:r>
              <w:rPr>
                <w:rFonts w:hint="eastAsia" w:cs="宋体"/>
                <w:szCs w:val="21"/>
              </w:rPr>
              <w:t>广东省电梯使用安全条例</w:t>
            </w:r>
            <w:r>
              <w:rPr>
                <w:rFonts w:cs="宋体"/>
                <w:szCs w:val="21"/>
              </w:rPr>
              <w:t>》</w:t>
            </w:r>
            <w:r>
              <w:rPr>
                <w:rFonts w:hint="eastAsia" w:cs="宋体"/>
                <w:szCs w:val="21"/>
              </w:rPr>
              <w:t>第十五条第</w:t>
            </w:r>
            <w:r>
              <w:rPr>
                <w:rFonts w:hint="eastAsia"/>
              </w:rPr>
              <w:t>（二）</w:t>
            </w:r>
            <w:r>
              <w:rPr>
                <w:rFonts w:hint="eastAsia" w:cs="宋体"/>
                <w:szCs w:val="21"/>
              </w:rPr>
              <w:t>项规定了，</w:t>
            </w:r>
            <w:r>
              <w:rPr>
                <w:rFonts w:hint="eastAsia"/>
              </w:rPr>
              <w:t>实施维护保养时现场作业人员不得少于二人，并做好自身安全防护。</w:t>
            </w:r>
          </w:p>
          <w:p>
            <w:r>
              <w:rPr>
                <w:rFonts w:hint="eastAsia"/>
              </w:rPr>
              <w:t>对于本项所述的复核人员，一般为实施现场维保的另一名维保人员。</w:t>
            </w:r>
          </w:p>
        </w:tc>
      </w:tr>
    </w:tbl>
    <w:p>
      <w:pPr>
        <w:spacing w:line="280" w:lineRule="exact"/>
        <w:rPr>
          <w:rFonts w:cs="宋体"/>
          <w:szCs w:val="21"/>
        </w:rPr>
      </w:pPr>
      <w:r>
        <w:rPr>
          <w:rFonts w:hint="eastAsia" w:cs="宋体"/>
          <w:szCs w:val="21"/>
        </w:rPr>
        <w:t>备注：</w:t>
      </w:r>
      <w:r>
        <w:rPr>
          <w:rFonts w:cs="宋体"/>
          <w:szCs w:val="21"/>
        </w:rPr>
        <w:t>1.项目栏中数字序号与《电梯监督检验和定期检验规则——曳引与强制驱动电梯》（TSG T7001－2009</w:t>
      </w:r>
      <w:r>
        <w:rPr>
          <w:rFonts w:hint="eastAsia" w:cs="宋体"/>
          <w:szCs w:val="21"/>
        </w:rPr>
        <w:t>，含第1号、第2号和第3号修改单）</w:t>
      </w:r>
      <w:r>
        <w:rPr>
          <w:rFonts w:cs="宋体"/>
          <w:szCs w:val="21"/>
        </w:rPr>
        <w:t>的附件A的条文序号一致；</w:t>
      </w:r>
    </w:p>
    <w:p>
      <w:pPr>
        <w:spacing w:line="280" w:lineRule="exact"/>
        <w:ind w:firstLine="630" w:firstLineChars="300"/>
        <w:rPr>
          <w:rFonts w:cs="宋体"/>
          <w:szCs w:val="21"/>
        </w:rPr>
      </w:pPr>
      <w:r>
        <w:rPr>
          <w:rFonts w:cs="宋体"/>
          <w:szCs w:val="21"/>
        </w:rPr>
        <w:t xml:space="preserve">2.标有★的项目为根据有关规定，对于允许按照GB7588-1995及更早期标准生产的电梯，可以不检验； </w:t>
      </w:r>
    </w:p>
    <w:p>
      <w:pPr>
        <w:spacing w:line="280" w:lineRule="exact"/>
        <w:ind w:firstLine="630" w:firstLineChars="300"/>
        <w:rPr>
          <w:rFonts w:cs="宋体"/>
          <w:szCs w:val="21"/>
        </w:rPr>
      </w:pPr>
      <w:r>
        <w:rPr>
          <w:rFonts w:cs="宋体"/>
          <w:szCs w:val="21"/>
        </w:rPr>
        <w:t>3.第15项</w:t>
      </w:r>
      <w:r>
        <w:rPr>
          <w:rFonts w:hint="eastAsia" w:cs="宋体"/>
          <w:szCs w:val="21"/>
        </w:rPr>
        <w:t>的</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cs="宋体"/>
          <w:szCs w:val="21"/>
        </w:rPr>
        <w:t>项目内容与《深圳经济特区特种设备安全条例》第二十五条第（三）</w:t>
      </w:r>
      <w:r>
        <w:rPr>
          <w:rFonts w:hint="eastAsia" w:cs="宋体"/>
          <w:szCs w:val="21"/>
        </w:rPr>
        <w:t>项</w:t>
      </w:r>
      <w:r>
        <w:rPr>
          <w:rFonts w:cs="宋体"/>
          <w:szCs w:val="21"/>
        </w:rPr>
        <w:t>相对应</w:t>
      </w:r>
      <w:r>
        <w:rPr>
          <w:rFonts w:hint="eastAsia" w:cs="宋体"/>
          <w:szCs w:val="21"/>
        </w:rPr>
        <w:t>；</w:t>
      </w:r>
      <w:r>
        <w:rPr>
          <w:color w:val="333333"/>
          <w:szCs w:val="21"/>
        </w:rPr>
        <w:fldChar w:fldCharType="begin"/>
      </w:r>
      <w:r>
        <w:rPr>
          <w:color w:val="333333"/>
          <w:szCs w:val="21"/>
        </w:rPr>
        <w:instrText xml:space="preserve"> </w:instrText>
      </w:r>
      <w:r>
        <w:rPr>
          <w:rFonts w:hint="eastAsia"/>
          <w:color w:val="333333"/>
          <w:szCs w:val="21"/>
        </w:rPr>
        <w:instrText xml:space="preserve">= 2 \* GB3</w:instrText>
      </w:r>
      <w:r>
        <w:rPr>
          <w:color w:val="333333"/>
          <w:szCs w:val="21"/>
        </w:rPr>
        <w:instrText xml:space="preserve"> </w:instrText>
      </w:r>
      <w:r>
        <w:rPr>
          <w:color w:val="333333"/>
          <w:szCs w:val="21"/>
        </w:rPr>
        <w:fldChar w:fldCharType="separate"/>
      </w:r>
      <w:r>
        <w:rPr>
          <w:rFonts w:hint="eastAsia"/>
          <w:color w:val="333333"/>
          <w:szCs w:val="21"/>
        </w:rPr>
        <w:t>②</w:t>
      </w:r>
      <w:r>
        <w:rPr>
          <w:color w:val="333333"/>
          <w:szCs w:val="21"/>
        </w:rPr>
        <w:fldChar w:fldCharType="end"/>
      </w:r>
      <w:r>
        <w:rPr>
          <w:rFonts w:cs="宋体"/>
          <w:szCs w:val="21"/>
        </w:rPr>
        <w:t>项目内容与《</w:t>
      </w:r>
      <w:r>
        <w:rPr>
          <w:rFonts w:hint="eastAsia" w:cs="宋体"/>
          <w:szCs w:val="21"/>
        </w:rPr>
        <w:t>广东省电梯使用安全条例</w:t>
      </w:r>
      <w:r>
        <w:rPr>
          <w:rFonts w:cs="宋体"/>
          <w:szCs w:val="21"/>
        </w:rPr>
        <w:t>》</w:t>
      </w:r>
      <w:r>
        <w:rPr>
          <w:rFonts w:hint="eastAsia" w:cs="宋体"/>
          <w:szCs w:val="21"/>
        </w:rPr>
        <w:t>第十五条第（五）项相对应</w:t>
      </w:r>
      <w:r>
        <w:rPr>
          <w:rFonts w:cs="宋体"/>
          <w:szCs w:val="21"/>
        </w:rPr>
        <w:t>。</w:t>
      </w:r>
    </w:p>
    <w:p>
      <w:pPr>
        <w:rPr>
          <w:rFonts w:cs="宋体"/>
          <w:szCs w:val="21"/>
        </w:rPr>
      </w:pPr>
    </w:p>
    <w:p>
      <w:pPr>
        <w:pStyle w:val="22"/>
        <w:numPr>
          <w:ilvl w:val="0"/>
          <w:numId w:val="1"/>
        </w:numPr>
        <w:ind w:firstLineChars="0"/>
        <w:rPr>
          <w:rFonts w:cs="宋体"/>
          <w:szCs w:val="21"/>
        </w:rPr>
      </w:pPr>
      <w:r>
        <w:rPr>
          <w:rFonts w:hint="eastAsia" w:cs="宋体"/>
          <w:szCs w:val="21"/>
        </w:rPr>
        <w:t>自动扶梯、自动人行道抽查项目</w:t>
      </w:r>
    </w:p>
    <w:p>
      <w:pPr>
        <w:rPr>
          <w:rFonts w:cs="宋体"/>
          <w:szCs w:val="21"/>
        </w:rPr>
      </w:pPr>
    </w:p>
    <w:tbl>
      <w:tblPr>
        <w:tblStyle w:val="10"/>
        <w:tblW w:w="13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4"/>
        <w:gridCol w:w="5383"/>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atLeast"/>
        </w:trPr>
        <w:tc>
          <w:tcPr>
            <w:tcW w:w="567" w:type="dxa"/>
            <w:shd w:val="clear" w:color="auto" w:fill="auto"/>
            <w:vAlign w:val="center"/>
          </w:tcPr>
          <w:p>
            <w:pPr>
              <w:spacing w:line="280" w:lineRule="exact"/>
              <w:jc w:val="center"/>
              <w:rPr>
                <w:rFonts w:cs="宋体"/>
                <w:szCs w:val="21"/>
              </w:rPr>
            </w:pPr>
            <w:r>
              <w:rPr>
                <w:rFonts w:hint="eastAsia" w:cs="宋体"/>
                <w:szCs w:val="21"/>
              </w:rPr>
              <w:t>1</w:t>
            </w:r>
          </w:p>
        </w:tc>
        <w:tc>
          <w:tcPr>
            <w:tcW w:w="854" w:type="dxa"/>
            <w:shd w:val="clear" w:color="auto" w:fill="auto"/>
            <w:vAlign w:val="center"/>
          </w:tcPr>
          <w:p>
            <w:pPr>
              <w:spacing w:line="280" w:lineRule="exact"/>
              <w:jc w:val="center"/>
              <w:rPr>
                <w:rFonts w:cs="宋体"/>
                <w:szCs w:val="21"/>
              </w:rPr>
            </w:pPr>
            <w:r>
              <w:rPr>
                <w:rFonts w:hint="eastAsia" w:cs="宋体"/>
                <w:szCs w:val="21"/>
              </w:rPr>
              <w:t>2.</w:t>
            </w:r>
            <w:r>
              <w:rPr>
                <w:rFonts w:cs="宋体"/>
                <w:szCs w:val="21"/>
              </w:rPr>
              <w:t>15</w:t>
            </w:r>
          </w:p>
          <w:p>
            <w:pPr>
              <w:spacing w:line="280" w:lineRule="exact"/>
              <w:jc w:val="center"/>
              <w:rPr>
                <w:rFonts w:cs="宋体"/>
                <w:szCs w:val="21"/>
              </w:rPr>
            </w:pPr>
            <w:r>
              <w:rPr>
                <w:rFonts w:hint="eastAsia" w:cs="宋体"/>
                <w:szCs w:val="21"/>
              </w:rPr>
              <w:t>紧急停止装置</w:t>
            </w:r>
            <w:r>
              <w:rPr>
                <w:rFonts w:cs="宋体"/>
                <w:szCs w:val="21"/>
              </w:rPr>
              <w:t>（B）</w:t>
            </w:r>
          </w:p>
        </w:tc>
        <w:tc>
          <w:tcPr>
            <w:tcW w:w="5383" w:type="dxa"/>
            <w:shd w:val="clear" w:color="auto" w:fill="auto"/>
            <w:vAlign w:val="center"/>
          </w:tcPr>
          <w:p>
            <w:pPr>
              <w:spacing w:line="280" w:lineRule="exact"/>
              <w:rPr>
                <w:rFonts w:cs="宋体"/>
                <w:szCs w:val="21"/>
              </w:rPr>
            </w:pPr>
            <w:r>
              <w:rPr>
                <w:rFonts w:hint="eastAsia" w:cs="宋体"/>
                <w:szCs w:val="21"/>
              </w:rPr>
              <w:t>紧急停止装置应当设置在自动扶梯或者自动人行道出入口附近、明显并且易于接近的位置。紧急停止装置应当为红色，有清晰的永久性中文标识；如果紧急停止装置位于扶手装置高度的1/2以下，应当在扶手装置1/2高度以上的醒目位置张贴直径至少为80mm的红底白字“急停”指示标记，箭头指向紧急停止装置。</w:t>
            </w:r>
          </w:p>
        </w:tc>
        <w:tc>
          <w:tcPr>
            <w:tcW w:w="6946" w:type="dxa"/>
            <w:shd w:val="clear" w:color="auto" w:fill="auto"/>
            <w:vAlign w:val="center"/>
          </w:tcPr>
          <w:p>
            <w:pPr>
              <w:spacing w:line="280" w:lineRule="exact"/>
              <w:rPr>
                <w:rFonts w:cs="宋体"/>
                <w:szCs w:val="21"/>
              </w:rPr>
            </w:pPr>
            <w:r>
              <w:rPr>
                <w:rFonts w:hint="eastAsia" w:cs="宋体"/>
                <w:szCs w:val="21"/>
              </w:rPr>
              <w:t>目测；操作试验。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5" w:hRule="atLeast"/>
        </w:trPr>
        <w:tc>
          <w:tcPr>
            <w:tcW w:w="567" w:type="dxa"/>
            <w:shd w:val="clear" w:color="auto" w:fill="auto"/>
            <w:vAlign w:val="center"/>
          </w:tcPr>
          <w:p>
            <w:pPr>
              <w:spacing w:line="280" w:lineRule="exact"/>
              <w:jc w:val="center"/>
              <w:rPr>
                <w:rFonts w:cs="宋体"/>
                <w:szCs w:val="21"/>
              </w:rPr>
            </w:pPr>
            <w:r>
              <w:rPr>
                <w:rFonts w:hint="eastAsia" w:cs="宋体"/>
                <w:szCs w:val="21"/>
              </w:rPr>
              <w:t>2</w:t>
            </w:r>
          </w:p>
        </w:tc>
        <w:tc>
          <w:tcPr>
            <w:tcW w:w="854" w:type="dxa"/>
            <w:shd w:val="clear" w:color="auto" w:fill="auto"/>
            <w:vAlign w:val="center"/>
          </w:tcPr>
          <w:p>
            <w:pPr>
              <w:spacing w:line="280" w:lineRule="exact"/>
              <w:jc w:val="center"/>
              <w:rPr>
                <w:rFonts w:cs="宋体"/>
                <w:szCs w:val="21"/>
              </w:rPr>
            </w:pPr>
            <w:r>
              <w:rPr>
                <w:rFonts w:hint="eastAsia" w:cs="宋体"/>
                <w:szCs w:val="21"/>
              </w:rPr>
              <w:t>3.4</w:t>
            </w:r>
          </w:p>
          <w:p>
            <w:pPr>
              <w:spacing w:line="280" w:lineRule="exact"/>
              <w:jc w:val="center"/>
              <w:rPr>
                <w:rFonts w:cs="宋体"/>
                <w:szCs w:val="21"/>
              </w:rPr>
            </w:pPr>
            <w:r>
              <w:rPr>
                <w:rFonts w:hint="eastAsia" w:cs="宋体"/>
                <w:szCs w:val="21"/>
              </w:rPr>
              <w:t>防护挡板（B）</w:t>
            </w:r>
          </w:p>
        </w:tc>
        <w:tc>
          <w:tcPr>
            <w:tcW w:w="5383" w:type="dxa"/>
            <w:shd w:val="clear" w:color="auto" w:fill="auto"/>
            <w:vAlign w:val="center"/>
          </w:tcPr>
          <w:p>
            <w:pPr>
              <w:spacing w:line="280" w:lineRule="exact"/>
              <w:rPr>
                <w:rFonts w:cs="宋体"/>
                <w:szCs w:val="21"/>
              </w:rPr>
            </w:pPr>
            <w:r>
              <w:rPr>
                <w:rFonts w:hint="eastAsia" w:cs="宋体"/>
                <w:szCs w:val="21"/>
              </w:rPr>
              <w:t xml:space="preserve">如果建筑物的障碍物会引起人员伤害，应当采取相应的预防措施。特别是在与楼板交叉处以及各交叉设置的自动扶梯或者自动人行道之间，应当设置一个高度不小于0.30m、无锐利边缘的垂直固定封闭防护挡板，位于扶手带上方，并且延伸至扶手带外缘下至少25mm(扶手带外缘与任何障碍物之间距离大于等于400mm的除外)                                                                              </w:t>
            </w:r>
          </w:p>
        </w:tc>
        <w:tc>
          <w:tcPr>
            <w:tcW w:w="6946" w:type="dxa"/>
            <w:shd w:val="clear" w:color="auto" w:fill="auto"/>
            <w:vAlign w:val="center"/>
          </w:tcPr>
          <w:p>
            <w:pPr>
              <w:spacing w:line="280" w:lineRule="exact"/>
              <w:rPr>
                <w:rFonts w:cs="宋体"/>
                <w:szCs w:val="21"/>
              </w:rPr>
            </w:pPr>
            <w:r>
              <w:rPr>
                <w:rFonts w:hint="eastAsia" w:cs="宋体"/>
                <w:szCs w:val="21"/>
              </w:rPr>
              <w:t>目测，测量相关数据。使用卷尺测量。</w:t>
            </w:r>
          </w:p>
          <w:p>
            <w:pPr>
              <w:spacing w:line="280" w:lineRule="exact"/>
              <w:rPr>
                <w:rFonts w:cs="宋体"/>
                <w:szCs w:val="21"/>
              </w:rPr>
            </w:pPr>
            <w:r>
              <w:rPr>
                <w:rFonts w:hint="eastAsia" w:cs="宋体"/>
                <w:szCs w:val="21"/>
              </w:rPr>
              <w:t>【补充说明】</w:t>
            </w:r>
          </w:p>
          <w:p>
            <w:pPr>
              <w:spacing w:line="280" w:lineRule="exact"/>
              <w:rPr>
                <w:rFonts w:cs="宋体"/>
                <w:szCs w:val="21"/>
              </w:rPr>
            </w:pPr>
            <w:r>
              <w:rPr>
                <w:rFonts w:hint="eastAsia" w:cs="宋体"/>
                <w:szCs w:val="21"/>
              </w:rPr>
              <w:t>①垂直固定防护挡板如图1和图2所示设置，其中高度h5≥0.3m，从扶手带上方（即扶手带上表面）开始计算；且至少延伸至扶手带下缘25mm处。</w:t>
            </w:r>
          </w:p>
          <w:p>
            <w:pPr>
              <w:spacing w:line="280" w:lineRule="exact"/>
              <w:rPr>
                <w:rFonts w:cs="宋体"/>
                <w:szCs w:val="21"/>
              </w:rPr>
            </w:pPr>
            <w:r>
              <w:rPr>
                <w:rFonts w:hint="eastAsia" w:cs="宋体"/>
                <w:szCs w:val="21"/>
              </w:rPr>
              <w:t>②防护挡板除无锐利边缘外还应具有一定强度，如不能使用泡沫板、纸皮板等，并可靠固定。</w:t>
            </w:r>
          </w:p>
          <w:tbl>
            <w:tblPr>
              <w:tblStyle w:val="10"/>
              <w:tblW w:w="6512" w:type="dxa"/>
              <w:tblInd w:w="0" w:type="dxa"/>
              <w:tblLayout w:type="fixed"/>
              <w:tblCellMar>
                <w:top w:w="0" w:type="dxa"/>
                <w:left w:w="108" w:type="dxa"/>
                <w:bottom w:w="0" w:type="dxa"/>
                <w:right w:w="108" w:type="dxa"/>
              </w:tblCellMar>
            </w:tblPr>
            <w:tblGrid>
              <w:gridCol w:w="3256"/>
              <w:gridCol w:w="3256"/>
            </w:tblGrid>
            <w:tr>
              <w:tblPrEx>
                <w:tblCellMar>
                  <w:top w:w="0" w:type="dxa"/>
                  <w:left w:w="108" w:type="dxa"/>
                  <w:bottom w:w="0" w:type="dxa"/>
                  <w:right w:w="108" w:type="dxa"/>
                </w:tblCellMar>
              </w:tblPrEx>
              <w:trPr>
                <w:trHeight w:val="1697" w:hRule="atLeast"/>
              </w:trPr>
              <w:tc>
                <w:tcPr>
                  <w:tcW w:w="3256" w:type="dxa"/>
                  <w:shd w:val="clear" w:color="auto" w:fill="auto"/>
                </w:tcPr>
                <w:p>
                  <w:pPr>
                    <w:spacing w:line="280" w:lineRule="exact"/>
                    <w:rPr>
                      <w:rFonts w:cs="宋体"/>
                      <w:szCs w:val="21"/>
                    </w:rPr>
                  </w:pPr>
                  <w:r>
                    <w:drawing>
                      <wp:anchor distT="0" distB="0" distL="114300" distR="114300" simplePos="0" relativeHeight="251674624" behindDoc="0" locked="0" layoutInCell="1" allowOverlap="1">
                        <wp:simplePos x="0" y="0"/>
                        <wp:positionH relativeFrom="page">
                          <wp:posOffset>133350</wp:posOffset>
                        </wp:positionH>
                        <wp:positionV relativeFrom="page">
                          <wp:posOffset>1270</wp:posOffset>
                        </wp:positionV>
                        <wp:extent cx="1943735" cy="1130935"/>
                        <wp:effectExtent l="0" t="0" r="0" b="0"/>
                        <wp:wrapSquare wrapText="bothSides"/>
                        <wp:docPr id="3" name="图片 4" descr="垂直防护挡板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4" descr="垂直防护挡板5"/>
                                <pic:cNvPicPr>
                                  <a:picLocks noChangeAspect="true" noChangeArrowheads="true"/>
                                </pic:cNvPicPr>
                              </pic:nvPicPr>
                              <pic:blipFill>
                                <a:blip r:embed="rId4" cstate="print"/>
                                <a:srcRect/>
                                <a:stretch>
                                  <a:fillRect/>
                                </a:stretch>
                              </pic:blipFill>
                              <pic:spPr>
                                <a:xfrm>
                                  <a:off x="0" y="0"/>
                                  <a:ext cx="1944000" cy="1131047"/>
                                </a:xfrm>
                                <a:prstGeom prst="rect">
                                  <a:avLst/>
                                </a:prstGeom>
                                <a:noFill/>
                                <a:ln w="9525">
                                  <a:noFill/>
                                  <a:miter lim="800000"/>
                                  <a:headEnd/>
                                  <a:tailEnd/>
                                </a:ln>
                              </pic:spPr>
                            </pic:pic>
                          </a:graphicData>
                        </a:graphic>
                      </wp:anchor>
                    </w:drawing>
                  </w:r>
                </w:p>
              </w:tc>
              <w:tc>
                <w:tcPr>
                  <w:tcW w:w="3256" w:type="dxa"/>
                </w:tcPr>
                <w:p>
                  <w:pPr>
                    <w:spacing w:line="280" w:lineRule="exact"/>
                  </w:pPr>
                  <w:r>
                    <w:drawing>
                      <wp:anchor distT="0" distB="0" distL="114300" distR="114300" simplePos="0" relativeHeight="251668480" behindDoc="0" locked="0" layoutInCell="1" allowOverlap="1">
                        <wp:simplePos x="0" y="0"/>
                        <wp:positionH relativeFrom="margin">
                          <wp:posOffset>-65405</wp:posOffset>
                        </wp:positionH>
                        <wp:positionV relativeFrom="margin">
                          <wp:posOffset>0</wp:posOffset>
                        </wp:positionV>
                        <wp:extent cx="2016125" cy="1254125"/>
                        <wp:effectExtent l="0" t="0" r="0" b="0"/>
                        <wp:wrapSquare wrapText="bothSides"/>
                        <wp:docPr id="2"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true" noChangeArrowheads="true"/>
                                </pic:cNvPicPr>
                              </pic:nvPicPr>
                              <pic:blipFill>
                                <a:blip r:embed="rId5" cstate="print"/>
                                <a:srcRect/>
                                <a:stretch>
                                  <a:fillRect/>
                                </a:stretch>
                              </pic:blipFill>
                              <pic:spPr>
                                <a:xfrm>
                                  <a:off x="0" y="0"/>
                                  <a:ext cx="2016000" cy="1254108"/>
                                </a:xfrm>
                                <a:prstGeom prst="rect">
                                  <a:avLst/>
                                </a:prstGeom>
                                <a:noFill/>
                                <a:ln w="9525">
                                  <a:noFill/>
                                  <a:miter lim="800000"/>
                                  <a:headEnd/>
                                  <a:tailEnd/>
                                </a:ln>
                              </pic:spPr>
                            </pic:pic>
                          </a:graphicData>
                        </a:graphic>
                      </wp:anchor>
                    </w:drawing>
                  </w:r>
                </w:p>
              </w:tc>
            </w:tr>
            <w:tr>
              <w:tblPrEx>
                <w:tblCellMar>
                  <w:top w:w="0" w:type="dxa"/>
                  <w:left w:w="108" w:type="dxa"/>
                  <w:bottom w:w="0" w:type="dxa"/>
                  <w:right w:w="108" w:type="dxa"/>
                </w:tblCellMar>
              </w:tblPrEx>
              <w:trPr>
                <w:trHeight w:val="211" w:hRule="atLeast"/>
              </w:trPr>
              <w:tc>
                <w:tcPr>
                  <w:tcW w:w="3256" w:type="dxa"/>
                  <w:shd w:val="clear" w:color="auto" w:fill="auto"/>
                </w:tcPr>
                <w:p>
                  <w:pPr>
                    <w:spacing w:line="280" w:lineRule="exact"/>
                    <w:jc w:val="left"/>
                    <w:rPr>
                      <w:rFonts w:cs="宋体"/>
                      <w:szCs w:val="21"/>
                    </w:rPr>
                  </w:pPr>
                  <w:r>
                    <w:rPr>
                      <w:rFonts w:hint="eastAsia" w:cs="宋体"/>
                      <w:szCs w:val="21"/>
                    </w:rPr>
                    <w:t>图1 与楼板交叉处防护挡板示例</w:t>
                  </w:r>
                </w:p>
              </w:tc>
              <w:tc>
                <w:tcPr>
                  <w:tcW w:w="3256" w:type="dxa"/>
                </w:tcPr>
                <w:p>
                  <w:pPr>
                    <w:spacing w:line="280" w:lineRule="exact"/>
                    <w:jc w:val="left"/>
                    <w:rPr>
                      <w:rFonts w:cs="宋体"/>
                      <w:szCs w:val="21"/>
                    </w:rPr>
                  </w:pPr>
                  <w:r>
                    <w:rPr>
                      <w:rFonts w:hint="eastAsia" w:cs="宋体"/>
                      <w:szCs w:val="21"/>
                    </w:rPr>
                    <w:t>图2  交叉设置的自动扶梯之间防护挡板示例</w:t>
                  </w:r>
                </w:p>
              </w:tc>
            </w:tr>
          </w:tbl>
          <w:p>
            <w:pPr>
              <w:widowControl/>
              <w:spacing w:line="280" w:lineRule="exact"/>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567" w:type="dxa"/>
            <w:shd w:val="clear" w:color="auto" w:fill="auto"/>
            <w:vAlign w:val="center"/>
          </w:tcPr>
          <w:p>
            <w:pPr>
              <w:spacing w:line="280" w:lineRule="exact"/>
              <w:jc w:val="center"/>
              <w:rPr>
                <w:rFonts w:cs="宋体"/>
                <w:szCs w:val="21"/>
              </w:rPr>
            </w:pPr>
            <w:r>
              <w:rPr>
                <w:rFonts w:hint="eastAsia" w:cs="宋体"/>
                <w:szCs w:val="21"/>
              </w:rPr>
              <w:t>3</w:t>
            </w:r>
          </w:p>
        </w:tc>
        <w:tc>
          <w:tcPr>
            <w:tcW w:w="854" w:type="dxa"/>
            <w:shd w:val="clear" w:color="auto" w:fill="auto"/>
            <w:vAlign w:val="center"/>
          </w:tcPr>
          <w:p>
            <w:pPr>
              <w:spacing w:line="280" w:lineRule="exact"/>
              <w:jc w:val="center"/>
              <w:rPr>
                <w:rFonts w:cs="宋体"/>
                <w:szCs w:val="21"/>
              </w:rPr>
            </w:pPr>
            <w:r>
              <w:rPr>
                <w:rFonts w:hint="eastAsia" w:cs="宋体"/>
                <w:szCs w:val="21"/>
              </w:rPr>
              <w:t>2.7</w:t>
            </w:r>
          </w:p>
          <w:p>
            <w:pPr>
              <w:spacing w:line="280" w:lineRule="exact"/>
              <w:jc w:val="center"/>
              <w:rPr>
                <w:rFonts w:cs="宋体"/>
                <w:szCs w:val="21"/>
              </w:rPr>
            </w:pPr>
            <w:r>
              <w:rPr>
                <w:rFonts w:hint="eastAsia" w:cs="宋体"/>
                <w:szCs w:val="21"/>
              </w:rPr>
              <w:t>停止开关设置（B）</w:t>
            </w:r>
          </w:p>
        </w:tc>
        <w:tc>
          <w:tcPr>
            <w:tcW w:w="5383" w:type="dxa"/>
            <w:shd w:val="clear" w:color="auto" w:fill="auto"/>
            <w:vAlign w:val="center"/>
          </w:tcPr>
          <w:p>
            <w:pPr>
              <w:spacing w:line="280" w:lineRule="exact"/>
              <w:rPr>
                <w:rFonts w:cs="宋体"/>
                <w:szCs w:val="21"/>
              </w:rPr>
            </w:pPr>
            <w:r>
              <w:rPr>
                <w:rFonts w:hint="eastAsia" w:cs="宋体"/>
                <w:szCs w:val="21"/>
              </w:rPr>
              <w:t>在驱动站和转向站都应当设有停止开关，如果驱动站已经设置了主开关，可以不设停止开关。对于驱动装置安装在梯级、踏板或者胶带的载客分支和返回分支之间或者设置在转向站外面的自动扶梯与自动人行道，则应当在驱动装置区段另设停止开关。</w:t>
            </w:r>
          </w:p>
          <w:p>
            <w:pPr>
              <w:spacing w:line="280" w:lineRule="exact"/>
              <w:rPr>
                <w:rFonts w:cs="宋体"/>
                <w:szCs w:val="21"/>
              </w:rPr>
            </w:pPr>
            <w:r>
              <w:rPr>
                <w:rFonts w:hint="eastAsia" w:cs="宋体"/>
                <w:szCs w:val="21"/>
              </w:rPr>
              <w:t>停止开关应当是红色双稳态的，有清晰的永久性标识</w:t>
            </w:r>
          </w:p>
        </w:tc>
        <w:tc>
          <w:tcPr>
            <w:tcW w:w="6946" w:type="dxa"/>
            <w:shd w:val="clear" w:color="auto" w:fill="auto"/>
            <w:vAlign w:val="center"/>
          </w:tcPr>
          <w:p>
            <w:pPr>
              <w:spacing w:line="280" w:lineRule="exact"/>
              <w:rPr>
                <w:rFonts w:cs="宋体"/>
                <w:szCs w:val="21"/>
              </w:rPr>
            </w:pPr>
            <w:r>
              <w:rPr>
                <w:rFonts w:hint="eastAsia" w:cs="宋体"/>
                <w:szCs w:val="21"/>
              </w:rPr>
              <w:t>目测；操作试验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567" w:type="dxa"/>
            <w:vMerge w:val="restart"/>
            <w:shd w:val="clear" w:color="auto" w:fill="auto"/>
            <w:vAlign w:val="center"/>
          </w:tcPr>
          <w:p>
            <w:pPr>
              <w:spacing w:line="280" w:lineRule="exact"/>
              <w:jc w:val="center"/>
              <w:rPr>
                <w:rFonts w:cs="宋体"/>
                <w:szCs w:val="21"/>
              </w:rPr>
            </w:pPr>
            <w:r>
              <w:rPr>
                <w:rFonts w:hint="eastAsia" w:cs="宋体"/>
                <w:szCs w:val="21"/>
              </w:rPr>
              <w:t>4</w:t>
            </w:r>
          </w:p>
        </w:tc>
        <w:tc>
          <w:tcPr>
            <w:tcW w:w="854" w:type="dxa"/>
            <w:vMerge w:val="restart"/>
            <w:shd w:val="clear" w:color="auto" w:fill="auto"/>
            <w:vAlign w:val="center"/>
          </w:tcPr>
          <w:p>
            <w:pPr>
              <w:spacing w:line="280" w:lineRule="exact"/>
              <w:jc w:val="center"/>
              <w:rPr>
                <w:rFonts w:cs="宋体"/>
                <w:szCs w:val="21"/>
              </w:rPr>
            </w:pPr>
            <w:r>
              <w:rPr>
                <w:rFonts w:hint="eastAsia" w:cs="宋体"/>
                <w:szCs w:val="21"/>
              </w:rPr>
              <w:t>4.2</w:t>
            </w:r>
          </w:p>
          <w:p>
            <w:pPr>
              <w:spacing w:line="280" w:lineRule="exact"/>
              <w:jc w:val="center"/>
              <w:rPr>
                <w:rFonts w:cs="宋体"/>
                <w:szCs w:val="21"/>
              </w:rPr>
            </w:pPr>
            <w:r>
              <w:rPr>
                <w:rFonts w:hint="eastAsia" w:cs="宋体"/>
                <w:szCs w:val="21"/>
              </w:rPr>
              <w:t>扶手防爬/阻挡/防滑行装置（</w:t>
            </w:r>
            <w:r>
              <w:rPr>
                <w:rFonts w:cs="宋体"/>
                <w:szCs w:val="21"/>
              </w:rPr>
              <w:t>B</w:t>
            </w:r>
            <w:r>
              <w:rPr>
                <w:rFonts w:hint="eastAsia" w:cs="宋体"/>
                <w:szCs w:val="21"/>
              </w:rPr>
              <w:t>）</w:t>
            </w:r>
          </w:p>
        </w:tc>
        <w:tc>
          <w:tcPr>
            <w:tcW w:w="5383" w:type="dxa"/>
            <w:shd w:val="clear" w:color="auto" w:fill="auto"/>
            <w:vAlign w:val="center"/>
          </w:tcPr>
          <w:p>
            <w:pPr>
              <w:spacing w:line="280" w:lineRule="exact"/>
              <w:rPr>
                <w:rFonts w:cs="宋体"/>
                <w:szCs w:val="21"/>
              </w:rPr>
            </w:pPr>
            <w:r>
              <w:rPr>
                <w:rFonts w:hint="eastAsia" w:cs="宋体"/>
                <w:szCs w:val="21"/>
              </w:rPr>
              <w:t>(1)为防止人员跌落而在自动扶梯或者自动人行道的外盖板上装设的防爬装置应当位于地平面上方(1000 ± 50)mm，下部与外盖板相交，平行于外盖板方向上的延伸长度不得小于1000mm，并且确保在此长度范围内无踩脚处。该装置的高度至少与扶手带表面齐平；</w:t>
            </w:r>
          </w:p>
        </w:tc>
        <w:tc>
          <w:tcPr>
            <w:tcW w:w="6946" w:type="dxa"/>
            <w:vMerge w:val="restart"/>
            <w:shd w:val="clear" w:color="auto" w:fill="auto"/>
          </w:tcPr>
          <w:p>
            <w:pPr>
              <w:spacing w:line="280" w:lineRule="exact"/>
              <w:rPr>
                <w:rFonts w:cs="宋体"/>
                <w:szCs w:val="21"/>
              </w:rPr>
            </w:pPr>
            <w:r>
              <w:rPr>
                <w:rFonts w:hint="eastAsia" w:cs="宋体"/>
                <w:szCs w:val="21"/>
              </w:rPr>
              <w:t>目测；测量相关数据</w:t>
            </w:r>
          </w:p>
          <w:p>
            <w:pPr>
              <w:spacing w:line="280" w:lineRule="exact"/>
              <w:ind w:firstLine="420" w:firstLineChars="200"/>
              <w:rPr>
                <w:rFonts w:cs="宋体"/>
                <w:szCs w:val="21"/>
              </w:rPr>
            </w:pPr>
            <w:r>
              <w:rPr>
                <w:rFonts w:hint="eastAsia" w:cs="宋体"/>
                <w:szCs w:val="21"/>
              </w:rPr>
              <w:t>(1)防爬装置，如图3所示。</w:t>
            </w:r>
          </w:p>
          <w:p>
            <w:pPr>
              <w:spacing w:line="280" w:lineRule="exact"/>
              <w:ind w:firstLine="420" w:firstLineChars="200"/>
              <w:rPr>
                <w:rFonts w:cs="宋体"/>
                <w:szCs w:val="21"/>
              </w:rPr>
            </w:pPr>
            <w:r>
              <w:rPr>
                <w:rFonts w:hint="eastAsia" w:cs="宋体"/>
                <w:szCs w:val="21"/>
              </w:rPr>
              <w:t>(2)（外盖板）阻挡装置，如图4所示。</w:t>
            </w:r>
          </w:p>
          <w:p>
            <w:pPr>
              <w:spacing w:line="280" w:lineRule="exact"/>
              <w:ind w:firstLine="420" w:firstLineChars="200"/>
              <w:rPr>
                <w:rFonts w:cs="宋体"/>
                <w:szCs w:val="21"/>
              </w:rPr>
            </w:pPr>
            <w:r>
              <w:rPr>
                <w:rFonts w:hint="eastAsia" w:cs="宋体"/>
                <w:szCs w:val="21"/>
              </w:rPr>
              <w:t>(3)防滑行装置，如图5所示。</w:t>
            </w:r>
          </w:p>
          <w:p>
            <w:pPr>
              <w:widowControl/>
              <w:jc w:val="center"/>
              <w:rPr>
                <w:rFonts w:cs="宋体"/>
                <w:szCs w:val="21"/>
              </w:rPr>
            </w:pPr>
            <w:r>
              <w:rPr>
                <w:rFonts w:hint="eastAsia" w:cs="宋体"/>
                <w:szCs w:val="21"/>
              </w:rPr>
              <w:drawing>
                <wp:inline distT="0" distB="0" distL="0" distR="0">
                  <wp:extent cx="1870710" cy="1247140"/>
                  <wp:effectExtent l="0" t="0" r="0" b="0"/>
                  <wp:docPr id="7"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true" noChangeArrowheads="true"/>
                          </pic:cNvPicPr>
                        </pic:nvPicPr>
                        <pic:blipFill>
                          <a:blip r:embed="rId6">
                            <a:extLst>
                              <a:ext uri="{28A0092B-C50C-407E-A947-70E740481C1C}">
                                <a14:useLocalDpi xmlns:a14="http://schemas.microsoft.com/office/drawing/2010/main" val="false"/>
                              </a:ext>
                            </a:extLst>
                          </a:blip>
                          <a:srcRect/>
                          <a:stretch>
                            <a:fillRect/>
                          </a:stretch>
                        </pic:blipFill>
                        <pic:spPr>
                          <a:xfrm>
                            <a:off x="0" y="0"/>
                            <a:ext cx="1888875" cy="1259076"/>
                          </a:xfrm>
                          <a:prstGeom prst="rect">
                            <a:avLst/>
                          </a:prstGeom>
                          <a:noFill/>
                          <a:ln>
                            <a:noFill/>
                          </a:ln>
                        </pic:spPr>
                      </pic:pic>
                    </a:graphicData>
                  </a:graphic>
                </wp:inline>
              </w:drawing>
            </w:r>
            <w:r>
              <w:rPr>
                <w:rFonts w:cs="宋体"/>
                <w:szCs w:val="21"/>
              </w:rPr>
              <w:t xml:space="preserve">  </w:t>
            </w:r>
            <w:r>
              <w:rPr>
                <w:rFonts w:hint="eastAsia" w:cs="宋体"/>
                <w:szCs w:val="21"/>
              </w:rPr>
              <w:drawing>
                <wp:inline distT="0" distB="0" distL="0" distR="0">
                  <wp:extent cx="1158875" cy="1817370"/>
                  <wp:effectExtent l="0" t="0" r="0" b="0"/>
                  <wp:docPr id="6"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true" noChangeArrowheads="true"/>
                          </pic:cNvPicPr>
                        </pic:nvPicPr>
                        <pic:blipFill>
                          <a:blip r:embed="rId7" cstate="print">
                            <a:extLst>
                              <a:ext uri="{28A0092B-C50C-407E-A947-70E740481C1C}">
                                <a14:useLocalDpi xmlns:a14="http://schemas.microsoft.com/office/drawing/2010/main" val="false"/>
                              </a:ext>
                            </a:extLst>
                          </a:blip>
                          <a:srcRect/>
                          <a:stretch>
                            <a:fillRect/>
                          </a:stretch>
                        </pic:blipFill>
                        <pic:spPr>
                          <a:xfrm>
                            <a:off x="0" y="0"/>
                            <a:ext cx="1179191" cy="1848755"/>
                          </a:xfrm>
                          <a:prstGeom prst="rect">
                            <a:avLst/>
                          </a:prstGeom>
                          <a:noFill/>
                          <a:ln>
                            <a:noFill/>
                          </a:ln>
                        </pic:spPr>
                      </pic:pic>
                    </a:graphicData>
                  </a:graphic>
                </wp:inline>
              </w:drawing>
            </w:r>
            <w:r>
              <w:rPr>
                <w:rFonts w:hint="eastAsia" w:cs="宋体"/>
                <w:szCs w:val="21"/>
              </w:rPr>
              <w:t xml:space="preserve">   </w:t>
            </w:r>
            <w:r>
              <w:rPr>
                <w:rFonts w:hint="eastAsia" w:cs="宋体"/>
                <w:szCs w:val="21"/>
              </w:rPr>
              <w:drawing>
                <wp:inline distT="0" distB="0" distL="0" distR="0">
                  <wp:extent cx="892810" cy="1858010"/>
                  <wp:effectExtent l="0" t="0" r="0" b="0"/>
                  <wp:docPr id="5"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true" noChangeArrowheads="true"/>
                          </pic:cNvPicPr>
                        </pic:nvPicPr>
                        <pic:blipFill>
                          <a:blip r:embed="rId8" cstate="print">
                            <a:extLst>
                              <a:ext uri="{28A0092B-C50C-407E-A947-70E740481C1C}">
                                <a14:useLocalDpi xmlns:a14="http://schemas.microsoft.com/office/drawing/2010/main" val="false"/>
                              </a:ext>
                            </a:extLst>
                          </a:blip>
                          <a:srcRect/>
                          <a:stretch>
                            <a:fillRect/>
                          </a:stretch>
                        </pic:blipFill>
                        <pic:spPr>
                          <a:xfrm>
                            <a:off x="0" y="0"/>
                            <a:ext cx="912252" cy="1898074"/>
                          </a:xfrm>
                          <a:prstGeom prst="rect">
                            <a:avLst/>
                          </a:prstGeom>
                          <a:noFill/>
                          <a:ln>
                            <a:noFill/>
                          </a:ln>
                        </pic:spPr>
                      </pic:pic>
                    </a:graphicData>
                  </a:graphic>
                </wp:inline>
              </w:drawing>
            </w:r>
          </w:p>
          <w:p>
            <w:pPr>
              <w:spacing w:line="280" w:lineRule="exact"/>
              <w:ind w:firstLine="1260" w:firstLineChars="600"/>
              <w:jc w:val="left"/>
              <w:rPr>
                <w:rFonts w:cs="宋体"/>
                <w:szCs w:val="21"/>
              </w:rPr>
            </w:pPr>
            <w:bookmarkStart w:id="0" w:name="图4421"/>
            <w:bookmarkEnd w:id="0"/>
            <w:r>
              <w:rPr>
                <w:rFonts w:hint="eastAsia" w:cs="宋体"/>
                <w:szCs w:val="21"/>
              </w:rPr>
              <w:t>图3</w:t>
            </w:r>
            <w:r>
              <w:rPr>
                <w:rFonts w:cs="宋体"/>
                <w:szCs w:val="21"/>
              </w:rPr>
              <w:t xml:space="preserve">                       </w:t>
            </w:r>
            <w:r>
              <w:rPr>
                <w:rFonts w:hint="eastAsia" w:cs="宋体"/>
                <w:szCs w:val="21"/>
              </w:rPr>
              <w:t xml:space="preserve">图4      </w:t>
            </w:r>
            <w:r>
              <w:rPr>
                <w:rFonts w:cs="宋体"/>
                <w:szCs w:val="21"/>
              </w:rPr>
              <w:t xml:space="preserve">      </w:t>
            </w:r>
            <w:r>
              <w:rPr>
                <w:rFonts w:hint="eastAsia" w:cs="宋体"/>
                <w:szCs w:val="21"/>
              </w:rPr>
              <w:t xml:space="preserve">  </w:t>
            </w:r>
            <w:bookmarkStart w:id="1" w:name="图4423"/>
            <w:bookmarkEnd w:id="1"/>
            <w:r>
              <w:rPr>
                <w:rFonts w:hint="eastAsia" w:cs="宋体"/>
                <w:szCs w:val="21"/>
              </w:rPr>
              <w:t>图5</w:t>
            </w:r>
          </w:p>
          <w:p>
            <w:pPr>
              <w:spacing w:before="156" w:beforeLines="50" w:line="280" w:lineRule="exact"/>
              <w:ind w:firstLine="482"/>
              <w:rPr>
                <w:rFonts w:cs="宋体"/>
                <w:szCs w:val="21"/>
              </w:rPr>
            </w:pPr>
            <w:r>
              <w:rPr>
                <w:rFonts w:hint="eastAsia" w:cs="宋体"/>
                <w:szCs w:val="21"/>
              </w:rPr>
              <w:t>【补充说明】</w:t>
            </w:r>
          </w:p>
          <w:p>
            <w:pPr>
              <w:spacing w:line="280" w:lineRule="exact"/>
              <w:rPr>
                <w:rFonts w:cs="宋体"/>
                <w:szCs w:val="21"/>
              </w:rPr>
            </w:pPr>
            <w:r>
              <w:rPr>
                <w:rFonts w:hint="eastAsia" w:cs="宋体"/>
                <w:szCs w:val="21"/>
              </w:rPr>
              <w:t>防爬装置的高度应至少与扶手带表面齐平，同时仍应符合扶手带外缘距离的要求。如果存在人员跌落的风险，应采取适当措施阻止人员爬上扶手装置外侧，在外盖板上装设符合要求的防爬装置；如不存在攀爬可能（例如已设置出入口阻挡装置，或符合本条第(2)项要求的外盖板阻挡装置），可不需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567" w:type="dxa"/>
            <w:vMerge w:val="continue"/>
            <w:shd w:val="clear" w:color="auto" w:fill="auto"/>
            <w:vAlign w:val="center"/>
          </w:tcPr>
          <w:p>
            <w:pPr>
              <w:spacing w:line="280" w:lineRule="exact"/>
              <w:jc w:val="center"/>
              <w:rPr>
                <w:rFonts w:cs="宋体"/>
                <w:szCs w:val="21"/>
              </w:rPr>
            </w:pPr>
          </w:p>
        </w:tc>
        <w:tc>
          <w:tcPr>
            <w:tcW w:w="854" w:type="dxa"/>
            <w:vMerge w:val="continue"/>
            <w:shd w:val="clear" w:color="auto" w:fill="auto"/>
            <w:vAlign w:val="center"/>
          </w:tcPr>
          <w:p>
            <w:pPr>
              <w:spacing w:line="280" w:lineRule="exact"/>
              <w:jc w:val="center"/>
              <w:rPr>
                <w:rFonts w:cs="宋体"/>
                <w:szCs w:val="21"/>
              </w:rPr>
            </w:pPr>
          </w:p>
        </w:tc>
        <w:tc>
          <w:tcPr>
            <w:tcW w:w="5383" w:type="dxa"/>
            <w:shd w:val="clear" w:color="auto" w:fill="auto"/>
            <w:vAlign w:val="center"/>
          </w:tcPr>
          <w:p>
            <w:pPr>
              <w:spacing w:line="280" w:lineRule="exact"/>
              <w:rPr>
                <w:rFonts w:cs="宋体"/>
                <w:szCs w:val="21"/>
              </w:rPr>
            </w:pPr>
            <w:r>
              <w:rPr>
                <w:rFonts w:cs="宋体"/>
                <w:szCs w:val="21"/>
              </w:rPr>
              <w:t>(2)当自动扶梯或者自动人行道与墙相邻，并且外盖板的宽度大于125mm时，在上、下端部应当安装阻挡装置以防止人员进入外盖板区域。当自动扶梯或者自动人行道为相邻平行布置，并且共用外盖板的宽度大于125mm时，也应当安装这种阻挡装置。该装置应当延伸到高度距离扶手带下缘25mm～150mm处；</w:t>
            </w:r>
          </w:p>
        </w:tc>
        <w:tc>
          <w:tcPr>
            <w:tcW w:w="6946" w:type="dxa"/>
            <w:vMerge w:val="continue"/>
            <w:shd w:val="clear" w:color="auto" w:fill="auto"/>
          </w:tcPr>
          <w:p>
            <w:pPr>
              <w:spacing w:before="156" w:beforeLines="50" w:line="280" w:lineRule="exact"/>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shd w:val="clear" w:color="auto" w:fill="auto"/>
            <w:vAlign w:val="center"/>
          </w:tcPr>
          <w:p>
            <w:pPr>
              <w:spacing w:line="280" w:lineRule="exact"/>
              <w:jc w:val="center"/>
              <w:rPr>
                <w:rFonts w:cs="宋体"/>
                <w:szCs w:val="21"/>
              </w:rPr>
            </w:pPr>
          </w:p>
        </w:tc>
        <w:tc>
          <w:tcPr>
            <w:tcW w:w="854" w:type="dxa"/>
            <w:vMerge w:val="continue"/>
            <w:shd w:val="clear" w:color="auto" w:fill="auto"/>
            <w:vAlign w:val="center"/>
          </w:tcPr>
          <w:p>
            <w:pPr>
              <w:spacing w:line="280" w:lineRule="exact"/>
              <w:jc w:val="center"/>
              <w:rPr>
                <w:rFonts w:cs="宋体"/>
                <w:szCs w:val="21"/>
              </w:rPr>
            </w:pPr>
          </w:p>
        </w:tc>
        <w:tc>
          <w:tcPr>
            <w:tcW w:w="5383" w:type="dxa"/>
            <w:shd w:val="clear" w:color="auto" w:fill="auto"/>
            <w:vAlign w:val="center"/>
          </w:tcPr>
          <w:p>
            <w:pPr>
              <w:spacing w:line="280" w:lineRule="exact"/>
              <w:rPr>
                <w:rFonts w:cs="宋体"/>
                <w:szCs w:val="21"/>
              </w:rPr>
            </w:pPr>
            <w:r>
              <w:rPr>
                <w:rFonts w:hint="eastAsia" w:cs="宋体"/>
                <w:szCs w:val="21"/>
              </w:rPr>
              <w:t>(3)当自动扶梯或者倾斜式自动人行道和相邻的墙之间装有接近扶手带高度的扶手盖板，并且建筑物(墙)和扶手带中心线之间的距离大于300mm时，或者相邻自动扶梯或者倾斜式自动人行道的扶手带中心线之间的距离大于400mm时，应当在扶手盖板上装设防滑行装置。该装置应当包含固定在扶手盖板上的部件，与扶手带的距离不小于100mm，并且防滑行装置之间的间隔距离不大于1800mm，高度不小于20mm。该装置应当无锐角或者锐边</w:t>
            </w:r>
          </w:p>
        </w:tc>
        <w:tc>
          <w:tcPr>
            <w:tcW w:w="6946" w:type="dxa"/>
            <w:vMerge w:val="continue"/>
            <w:shd w:val="clear" w:color="auto" w:fill="auto"/>
          </w:tcPr>
          <w:p>
            <w:pPr>
              <w:spacing w:before="156" w:beforeLines="50" w:line="280" w:lineRule="exact"/>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auto"/>
            <w:vAlign w:val="center"/>
          </w:tcPr>
          <w:p>
            <w:pPr>
              <w:spacing w:line="280" w:lineRule="exact"/>
              <w:jc w:val="center"/>
              <w:rPr>
                <w:rFonts w:cs="宋体"/>
                <w:szCs w:val="21"/>
              </w:rPr>
            </w:pPr>
            <w:r>
              <w:rPr>
                <w:rFonts w:hint="eastAsia" w:cs="宋体"/>
                <w:szCs w:val="21"/>
              </w:rPr>
              <w:t>5</w:t>
            </w:r>
          </w:p>
        </w:tc>
        <w:tc>
          <w:tcPr>
            <w:tcW w:w="854" w:type="dxa"/>
            <w:shd w:val="clear" w:color="auto" w:fill="auto"/>
            <w:vAlign w:val="center"/>
          </w:tcPr>
          <w:p>
            <w:pPr>
              <w:spacing w:line="240" w:lineRule="exact"/>
              <w:jc w:val="center"/>
              <w:rPr>
                <w:rFonts w:cs="宋体"/>
                <w:szCs w:val="21"/>
              </w:rPr>
            </w:pPr>
            <w:r>
              <w:rPr>
                <w:rFonts w:hint="eastAsia" w:cs="宋体"/>
                <w:szCs w:val="21"/>
              </w:rPr>
              <w:t>6.1</w:t>
            </w:r>
          </w:p>
          <w:p>
            <w:pPr>
              <w:spacing w:line="240" w:lineRule="exact"/>
              <w:jc w:val="center"/>
              <w:rPr>
                <w:rFonts w:cs="宋体"/>
                <w:szCs w:val="21"/>
              </w:rPr>
            </w:pPr>
            <w:r>
              <w:rPr>
                <w:rFonts w:hint="eastAsia" w:cs="宋体"/>
                <w:szCs w:val="21"/>
              </w:rPr>
              <w:t>扶手带入口保护（B）</w:t>
            </w:r>
          </w:p>
        </w:tc>
        <w:tc>
          <w:tcPr>
            <w:tcW w:w="5383" w:type="dxa"/>
            <w:shd w:val="clear" w:color="auto" w:fill="auto"/>
            <w:vAlign w:val="center"/>
          </w:tcPr>
          <w:p>
            <w:pPr>
              <w:spacing w:line="280" w:lineRule="exact"/>
              <w:rPr>
                <w:rFonts w:cs="宋体"/>
                <w:szCs w:val="21"/>
              </w:rPr>
            </w:pPr>
            <w:r>
              <w:rPr>
                <w:rFonts w:hint="eastAsia" w:cs="宋体"/>
                <w:szCs w:val="21"/>
              </w:rPr>
              <w:t>在扶手转向端的扶手带入口处应设置手指和手的保护装置，该装置动作时，驱动主机应不能启动或立即停止。</w:t>
            </w:r>
          </w:p>
        </w:tc>
        <w:tc>
          <w:tcPr>
            <w:tcW w:w="6946" w:type="dxa"/>
            <w:shd w:val="clear" w:color="auto" w:fill="auto"/>
            <w:vAlign w:val="center"/>
          </w:tcPr>
          <w:p>
            <w:pPr>
              <w:spacing w:line="280" w:lineRule="exact"/>
              <w:rPr>
                <w:rFonts w:cs="宋体"/>
                <w:szCs w:val="21"/>
              </w:rPr>
            </w:pPr>
            <w:r>
              <w:rPr>
                <w:rFonts w:hint="eastAsia" w:cs="宋体"/>
                <w:szCs w:val="21"/>
              </w:rPr>
              <w:t>模拟动作试验。检修状态下使用辅助工具使装置动作，驱动主机应不能启动；检修运行时用辅助工具使装置动作，驱动主机应立即停止。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auto"/>
            <w:vAlign w:val="center"/>
          </w:tcPr>
          <w:p>
            <w:pPr>
              <w:spacing w:line="280" w:lineRule="exact"/>
              <w:jc w:val="center"/>
              <w:rPr>
                <w:rFonts w:cs="宋体"/>
                <w:szCs w:val="21"/>
              </w:rPr>
            </w:pPr>
            <w:r>
              <w:rPr>
                <w:rFonts w:hint="eastAsia" w:cs="宋体"/>
                <w:szCs w:val="21"/>
              </w:rPr>
              <w:t>6</w:t>
            </w:r>
          </w:p>
        </w:tc>
        <w:tc>
          <w:tcPr>
            <w:tcW w:w="854" w:type="dxa"/>
            <w:shd w:val="clear" w:color="auto" w:fill="auto"/>
            <w:vAlign w:val="center"/>
          </w:tcPr>
          <w:p>
            <w:pPr>
              <w:spacing w:line="280" w:lineRule="exact"/>
              <w:jc w:val="center"/>
              <w:rPr>
                <w:rFonts w:cs="宋体"/>
                <w:szCs w:val="21"/>
              </w:rPr>
            </w:pPr>
            <w:r>
              <w:rPr>
                <w:rFonts w:hint="eastAsia" w:cs="宋体"/>
                <w:szCs w:val="21"/>
              </w:rPr>
              <w:t>6.2</w:t>
            </w:r>
          </w:p>
          <w:p>
            <w:pPr>
              <w:spacing w:line="280" w:lineRule="exact"/>
              <w:jc w:val="center"/>
              <w:rPr>
                <w:rFonts w:cs="宋体"/>
                <w:szCs w:val="21"/>
              </w:rPr>
            </w:pPr>
            <w:r>
              <w:rPr>
                <w:rFonts w:hint="eastAsia" w:cs="宋体"/>
                <w:szCs w:val="21"/>
              </w:rPr>
              <w:t>梳齿板保护</w:t>
            </w:r>
          </w:p>
          <w:p>
            <w:pPr>
              <w:spacing w:line="280" w:lineRule="exact"/>
              <w:jc w:val="center"/>
              <w:rPr>
                <w:rFonts w:cs="宋体"/>
                <w:szCs w:val="21"/>
              </w:rPr>
            </w:pPr>
            <w:r>
              <w:rPr>
                <w:rFonts w:hint="eastAsia" w:cs="宋体"/>
                <w:szCs w:val="21"/>
              </w:rPr>
              <w:t>（B）</w:t>
            </w:r>
          </w:p>
        </w:tc>
        <w:tc>
          <w:tcPr>
            <w:tcW w:w="5383" w:type="dxa"/>
            <w:shd w:val="clear" w:color="auto" w:fill="auto"/>
            <w:vAlign w:val="center"/>
          </w:tcPr>
          <w:p>
            <w:pPr>
              <w:spacing w:before="156" w:beforeLines="50" w:line="280" w:lineRule="exact"/>
              <w:rPr>
                <w:rFonts w:cs="宋体"/>
                <w:szCs w:val="21"/>
              </w:rPr>
            </w:pPr>
            <w:r>
              <w:rPr>
                <w:rFonts w:hint="eastAsia" w:cs="宋体"/>
                <w:szCs w:val="21"/>
              </w:rPr>
              <w:t>当有异物卡入，梳齿板与梯级或踏板发生碰撞时，自动扶梯或自动人行道应自动停止运行。</w:t>
            </w:r>
          </w:p>
        </w:tc>
        <w:tc>
          <w:tcPr>
            <w:tcW w:w="6946" w:type="dxa"/>
            <w:shd w:val="clear" w:color="auto" w:fill="auto"/>
            <w:vAlign w:val="center"/>
          </w:tcPr>
          <w:p>
            <w:pPr>
              <w:spacing w:line="280" w:lineRule="exact"/>
              <w:rPr>
                <w:rFonts w:cs="宋体"/>
                <w:szCs w:val="21"/>
              </w:rPr>
            </w:pPr>
            <w:r>
              <w:rPr>
                <w:rFonts w:hint="eastAsia" w:cs="宋体"/>
                <w:szCs w:val="21"/>
              </w:rPr>
              <w:t>拆下中间部位的梳齿板，用工具使梳齿板向后或者向上移动（或者前后、上下），检查安全装置是否动作，自动扶梯或自动人行道能否启动。该项目在检修状态下进行检验，如两侧分别设置有安全开关，则两侧的安全开关都应分别检查，以确保在梳齿板的任何位置卡人异物时，保护装置都能可靠动作。</w:t>
            </w:r>
          </w:p>
          <w:p>
            <w:pPr>
              <w:spacing w:line="280" w:lineRule="exact"/>
              <w:rPr>
                <w:rFonts w:cs="宋体"/>
                <w:szCs w:val="21"/>
              </w:rPr>
            </w:pPr>
            <w:r>
              <w:rPr>
                <w:rFonts w:hint="eastAsia" w:cs="宋体"/>
                <w:szCs w:val="21"/>
              </w:rPr>
              <w:t>【补充说明】</w:t>
            </w:r>
          </w:p>
          <w:p>
            <w:pPr>
              <w:spacing w:line="280" w:lineRule="exact"/>
              <w:rPr>
                <w:rFonts w:cs="宋体"/>
                <w:szCs w:val="21"/>
              </w:rPr>
            </w:pPr>
            <w:r>
              <w:rPr>
                <w:rFonts w:hint="eastAsia" w:cs="宋体"/>
                <w:szCs w:val="21"/>
              </w:rPr>
              <w:t>对于制造日期为1998年2月1日以前的设备，本项不合格不作为否决项，按C项处理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shd w:val="clear" w:color="auto" w:fill="auto"/>
            <w:vAlign w:val="center"/>
          </w:tcPr>
          <w:p>
            <w:pPr>
              <w:spacing w:line="280" w:lineRule="exact"/>
              <w:jc w:val="center"/>
              <w:rPr>
                <w:rFonts w:cs="宋体"/>
                <w:szCs w:val="21"/>
              </w:rPr>
            </w:pPr>
            <w:r>
              <w:rPr>
                <w:rFonts w:cs="宋体"/>
                <w:szCs w:val="21"/>
              </w:rPr>
              <w:t>7</w:t>
            </w:r>
          </w:p>
        </w:tc>
        <w:tc>
          <w:tcPr>
            <w:tcW w:w="854" w:type="dxa"/>
            <w:vMerge w:val="restart"/>
            <w:shd w:val="clear" w:color="auto" w:fill="auto"/>
            <w:vAlign w:val="center"/>
          </w:tcPr>
          <w:p>
            <w:pPr>
              <w:spacing w:line="280" w:lineRule="exact"/>
              <w:jc w:val="center"/>
              <w:rPr>
                <w:rFonts w:cs="宋体"/>
                <w:szCs w:val="21"/>
              </w:rPr>
            </w:pPr>
            <w:r>
              <w:rPr>
                <w:rFonts w:hint="eastAsia" w:cs="宋体"/>
                <w:szCs w:val="21"/>
              </w:rPr>
              <w:t>6.4</w:t>
            </w:r>
          </w:p>
          <w:p>
            <w:pPr>
              <w:spacing w:line="280" w:lineRule="exact"/>
              <w:jc w:val="center"/>
              <w:rPr>
                <w:rFonts w:cs="宋体"/>
                <w:szCs w:val="21"/>
              </w:rPr>
            </w:pPr>
            <w:r>
              <w:rPr>
                <w:rFonts w:hint="eastAsia" w:cs="宋体"/>
                <w:szCs w:val="21"/>
              </w:rPr>
              <w:t>非操纵逆转保护（B）</w:t>
            </w:r>
          </w:p>
        </w:tc>
        <w:tc>
          <w:tcPr>
            <w:tcW w:w="5383" w:type="dxa"/>
            <w:shd w:val="clear" w:color="auto" w:fill="auto"/>
            <w:vAlign w:val="center"/>
          </w:tcPr>
          <w:p>
            <w:pPr>
              <w:spacing w:line="280" w:lineRule="exact"/>
              <w:rPr>
                <w:rFonts w:cs="宋体"/>
                <w:szCs w:val="21"/>
              </w:rPr>
            </w:pPr>
            <w:r>
              <w:rPr>
                <w:rFonts w:hint="eastAsia" w:cs="宋体"/>
                <w:szCs w:val="21"/>
              </w:rPr>
              <w:t>（1）自动扶梯或倾斜角不小于6°的倾斜式自动人行道应设置一个装置，使其在梯级，踏板或胶带改变规定运行方向时，自动停止运行</w:t>
            </w:r>
          </w:p>
        </w:tc>
        <w:tc>
          <w:tcPr>
            <w:tcW w:w="6946" w:type="dxa"/>
            <w:vMerge w:val="restart"/>
            <w:shd w:val="clear" w:color="auto" w:fill="auto"/>
            <w:vAlign w:val="center"/>
          </w:tcPr>
          <w:p>
            <w:pPr>
              <w:rPr>
                <w:rFonts w:cs="宋体"/>
                <w:szCs w:val="21"/>
              </w:rPr>
            </w:pPr>
            <w:r>
              <w:rPr>
                <w:rFonts w:cs="宋体"/>
                <w:szCs w:val="21"/>
              </w:rPr>
              <w:t>由维修保养单位按制造厂提供的方法进行试验，检验人员现场观察、确认。</w:t>
            </w:r>
          </w:p>
          <w:p>
            <w:pPr>
              <w:rPr>
                <w:rFonts w:cs="宋体"/>
                <w:szCs w:val="21"/>
              </w:rPr>
            </w:pPr>
            <w:r>
              <w:rPr>
                <w:rFonts w:cs="宋体"/>
                <w:szCs w:val="21"/>
              </w:rPr>
              <w:t>【补充说明】</w:t>
            </w:r>
          </w:p>
          <w:p>
            <w:pPr>
              <w:rPr>
                <w:rFonts w:cs="宋体"/>
                <w:szCs w:val="21"/>
              </w:rPr>
            </w:pPr>
            <w:r>
              <w:rPr>
                <w:rFonts w:hint="eastAsia" w:cs="宋体"/>
                <w:szCs w:val="21"/>
              </w:rPr>
              <w:t>①</w:t>
            </w:r>
            <w:r>
              <w:rPr>
                <w:rFonts w:cs="宋体"/>
                <w:szCs w:val="21"/>
              </w:rPr>
              <w:t>对于制造日期为1998年2月1日以前的设备，第</w:t>
            </w:r>
            <w:r>
              <w:rPr>
                <w:rFonts w:hint="eastAsia" w:cs="宋体"/>
                <w:szCs w:val="21"/>
              </w:rPr>
              <w:t>①</w:t>
            </w:r>
            <w:r>
              <w:rPr>
                <w:rFonts w:cs="宋体"/>
                <w:szCs w:val="21"/>
              </w:rPr>
              <w:t>项不合格不作为否决项，按C项处理，第</w:t>
            </w:r>
            <w:r>
              <w:rPr>
                <w:rFonts w:hint="eastAsia" w:cs="宋体"/>
                <w:szCs w:val="21"/>
              </w:rPr>
              <w:t>②</w:t>
            </w:r>
            <w:r>
              <w:rPr>
                <w:rFonts w:cs="宋体"/>
                <w:szCs w:val="21"/>
              </w:rPr>
              <w:t>项不适用。</w:t>
            </w:r>
          </w:p>
          <w:p>
            <w:pPr>
              <w:rPr>
                <w:rFonts w:cs="宋体"/>
                <w:szCs w:val="21"/>
              </w:rPr>
            </w:pPr>
            <w:r>
              <w:rPr>
                <w:rFonts w:hint="eastAsia" w:cs="宋体"/>
                <w:szCs w:val="21"/>
              </w:rPr>
              <w:t>②</w:t>
            </w:r>
            <w:r>
              <w:rPr>
                <w:rFonts w:cs="宋体"/>
                <w:szCs w:val="21"/>
              </w:rPr>
              <w:t>对于允许按照GB16899-1997及更早期标准生产的自动扶梯和自动人行道，检验内容第</w:t>
            </w:r>
            <w:r>
              <w:rPr>
                <w:rFonts w:hint="eastAsia" w:cs="宋体"/>
                <w:szCs w:val="21"/>
              </w:rPr>
              <w:t>②</w:t>
            </w:r>
            <w:r>
              <w:rPr>
                <w:rFonts w:cs="宋体"/>
                <w:szCs w:val="21"/>
              </w:rPr>
              <w:t>项要求不适用</w:t>
            </w:r>
            <w:r>
              <w:rPr>
                <w:rFonts w:hint="eastAsia"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shd w:val="clear" w:color="auto" w:fill="auto"/>
            <w:vAlign w:val="center"/>
          </w:tcPr>
          <w:p>
            <w:pPr>
              <w:spacing w:line="280" w:lineRule="exact"/>
              <w:jc w:val="center"/>
              <w:rPr>
                <w:rFonts w:cs="宋体"/>
                <w:szCs w:val="21"/>
              </w:rPr>
            </w:pPr>
          </w:p>
        </w:tc>
        <w:tc>
          <w:tcPr>
            <w:tcW w:w="854" w:type="dxa"/>
            <w:vMerge w:val="continue"/>
            <w:shd w:val="clear" w:color="auto" w:fill="auto"/>
            <w:vAlign w:val="center"/>
          </w:tcPr>
          <w:p>
            <w:pPr>
              <w:spacing w:line="280" w:lineRule="exact"/>
              <w:jc w:val="center"/>
              <w:rPr>
                <w:rFonts w:cs="宋体"/>
                <w:szCs w:val="21"/>
              </w:rPr>
            </w:pPr>
          </w:p>
        </w:tc>
        <w:tc>
          <w:tcPr>
            <w:tcW w:w="5383" w:type="dxa"/>
            <w:shd w:val="clear" w:color="auto" w:fill="auto"/>
            <w:vAlign w:val="center"/>
          </w:tcPr>
          <w:p>
            <w:pPr>
              <w:spacing w:line="280" w:lineRule="exact"/>
              <w:rPr>
                <w:rFonts w:cs="宋体"/>
                <w:szCs w:val="21"/>
              </w:rPr>
            </w:pPr>
            <w:r>
              <w:rPr>
                <w:rFonts w:hint="eastAsia" w:cs="宋体"/>
                <w:szCs w:val="21"/>
              </w:rPr>
              <w:t>★（2）该装置动作后，只有手动复位故障锁定,并操作开关或者检修控制装置才能重新启动自动扶梯和自动人行道。即使电源发生故障或者恢复供电，此故障锁定应始终保持有效。</w:t>
            </w:r>
          </w:p>
        </w:tc>
        <w:tc>
          <w:tcPr>
            <w:tcW w:w="6946" w:type="dxa"/>
            <w:vMerge w:val="continue"/>
            <w:shd w:val="clear" w:color="auto" w:fill="auto"/>
            <w:vAlign w:val="center"/>
          </w:tcPr>
          <w:p>
            <w:pP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shd w:val="clear" w:color="auto" w:fill="auto"/>
            <w:vAlign w:val="center"/>
          </w:tcPr>
          <w:p>
            <w:pPr>
              <w:spacing w:line="280" w:lineRule="exact"/>
              <w:jc w:val="center"/>
              <w:rPr>
                <w:rFonts w:cs="宋体"/>
                <w:szCs w:val="21"/>
              </w:rPr>
            </w:pPr>
            <w:r>
              <w:rPr>
                <w:rFonts w:hint="eastAsia" w:cs="宋体"/>
                <w:szCs w:val="21"/>
              </w:rPr>
              <w:t>8</w:t>
            </w:r>
          </w:p>
        </w:tc>
        <w:tc>
          <w:tcPr>
            <w:tcW w:w="854" w:type="dxa"/>
            <w:vMerge w:val="restart"/>
            <w:shd w:val="clear" w:color="auto" w:fill="auto"/>
            <w:vAlign w:val="center"/>
          </w:tcPr>
          <w:p>
            <w:pPr>
              <w:spacing w:line="280" w:lineRule="exact"/>
              <w:jc w:val="center"/>
              <w:rPr>
                <w:rFonts w:cs="宋体"/>
                <w:szCs w:val="21"/>
              </w:rPr>
            </w:pPr>
            <w:r>
              <w:rPr>
                <w:rFonts w:hint="eastAsia" w:cs="宋体"/>
                <w:szCs w:val="21"/>
              </w:rPr>
              <w:t>6.11</w:t>
            </w:r>
          </w:p>
          <w:p>
            <w:pPr>
              <w:spacing w:line="280" w:lineRule="exact"/>
              <w:jc w:val="center"/>
              <w:rPr>
                <w:rFonts w:cs="宋体"/>
                <w:szCs w:val="21"/>
              </w:rPr>
            </w:pPr>
            <w:r>
              <w:rPr>
                <w:rFonts w:hint="eastAsia" w:cs="宋体"/>
                <w:szCs w:val="21"/>
              </w:rPr>
              <w:t>检修盖板和楼层板</w:t>
            </w:r>
          </w:p>
          <w:p>
            <w:pPr>
              <w:spacing w:line="280" w:lineRule="exact"/>
              <w:jc w:val="center"/>
              <w:rPr>
                <w:rFonts w:cs="宋体"/>
                <w:szCs w:val="21"/>
              </w:rPr>
            </w:pPr>
            <w:r>
              <w:rPr>
                <w:rFonts w:hint="eastAsia" w:cs="宋体"/>
                <w:szCs w:val="21"/>
              </w:rPr>
              <w:t>（</w:t>
            </w:r>
            <w:r>
              <w:rPr>
                <w:rFonts w:cs="宋体"/>
                <w:szCs w:val="21"/>
              </w:rPr>
              <w:t>B</w:t>
            </w:r>
            <w:r>
              <w:rPr>
                <w:rFonts w:hint="eastAsia" w:cs="宋体"/>
                <w:szCs w:val="21"/>
              </w:rPr>
              <w:t>）</w:t>
            </w:r>
          </w:p>
        </w:tc>
        <w:tc>
          <w:tcPr>
            <w:tcW w:w="5383" w:type="dxa"/>
            <w:shd w:val="clear" w:color="auto" w:fill="auto"/>
            <w:vAlign w:val="center"/>
          </w:tcPr>
          <w:p>
            <w:pPr>
              <w:spacing w:line="280" w:lineRule="exact"/>
              <w:rPr>
                <w:rFonts w:cs="宋体"/>
                <w:szCs w:val="21"/>
              </w:rPr>
            </w:pPr>
            <w:r>
              <w:rPr>
                <w:rFonts w:hint="eastAsia" w:cs="宋体"/>
                <w:szCs w:val="21"/>
              </w:rPr>
              <w:t>(1)应当采取适当的措施(如安装楼层板防倾覆装置、螺栓固定等)，防止楼层板因人员踩踏或者自重的作用而发生倾覆、翻转；</w:t>
            </w:r>
          </w:p>
        </w:tc>
        <w:tc>
          <w:tcPr>
            <w:tcW w:w="6946" w:type="dxa"/>
            <w:vMerge w:val="restart"/>
            <w:shd w:val="clear" w:color="auto" w:fill="auto"/>
            <w:vAlign w:val="center"/>
          </w:tcPr>
          <w:p>
            <w:pPr>
              <w:rPr>
                <w:rFonts w:cs="宋体"/>
                <w:szCs w:val="21"/>
              </w:rPr>
            </w:pPr>
            <w:r>
              <w:rPr>
                <w:rFonts w:hint="eastAsia" w:cs="宋体"/>
                <w:szCs w:val="21"/>
              </w:rPr>
              <w:t>目测；开启检修盖板、楼层板，观察驱动主机能否启动。</w:t>
            </w:r>
          </w:p>
          <w:p>
            <w:pPr>
              <w:rPr>
                <w:rFonts w:cs="宋体"/>
                <w:szCs w:val="21"/>
              </w:rPr>
            </w:pPr>
            <w:r>
              <w:rPr>
                <w:rFonts w:cs="宋体"/>
                <w:szCs w:val="21"/>
              </w:rPr>
              <w:t>【补充说明】</w:t>
            </w:r>
          </w:p>
          <w:p>
            <w:pPr>
              <w:rPr>
                <w:rFonts w:cs="宋体"/>
                <w:szCs w:val="21"/>
              </w:rPr>
            </w:pPr>
            <w:r>
              <w:rPr>
                <w:rFonts w:cs="宋体"/>
                <w:szCs w:val="21"/>
              </w:rPr>
              <w:t>对于允许按照GB16899-1997及更早期标准生产的自动扶梯和自动人行道，检验内容第</w:t>
            </w:r>
            <w:r>
              <w:rPr>
                <w:rFonts w:hint="eastAsia" w:cs="宋体"/>
                <w:szCs w:val="21"/>
              </w:rPr>
              <w:t>（2）</w:t>
            </w:r>
            <w:r>
              <w:rPr>
                <w:rFonts w:cs="宋体"/>
                <w:szCs w:val="21"/>
              </w:rPr>
              <w:t>项要求不适用</w:t>
            </w:r>
            <w:r>
              <w:rPr>
                <w:rFonts w:hint="eastAsia"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shd w:val="clear" w:color="auto" w:fill="auto"/>
            <w:vAlign w:val="center"/>
          </w:tcPr>
          <w:p>
            <w:pPr>
              <w:spacing w:line="280" w:lineRule="exact"/>
              <w:jc w:val="center"/>
              <w:rPr>
                <w:rFonts w:cs="宋体"/>
                <w:szCs w:val="21"/>
              </w:rPr>
            </w:pPr>
          </w:p>
        </w:tc>
        <w:tc>
          <w:tcPr>
            <w:tcW w:w="854" w:type="dxa"/>
            <w:vMerge w:val="continue"/>
            <w:shd w:val="clear" w:color="auto" w:fill="auto"/>
            <w:vAlign w:val="center"/>
          </w:tcPr>
          <w:p>
            <w:pPr>
              <w:spacing w:line="280" w:lineRule="exact"/>
              <w:jc w:val="center"/>
              <w:rPr>
                <w:rFonts w:cs="宋体"/>
                <w:szCs w:val="21"/>
              </w:rPr>
            </w:pPr>
          </w:p>
        </w:tc>
        <w:tc>
          <w:tcPr>
            <w:tcW w:w="5383" w:type="dxa"/>
            <w:shd w:val="clear" w:color="auto" w:fill="auto"/>
            <w:vAlign w:val="center"/>
          </w:tcPr>
          <w:p>
            <w:pPr>
              <w:spacing w:line="280" w:lineRule="exact"/>
              <w:rPr>
                <w:rFonts w:cs="宋体"/>
                <w:szCs w:val="21"/>
              </w:rPr>
            </w:pPr>
            <w:r>
              <w:rPr>
                <w:rFonts w:hint="eastAsia" w:cs="宋体"/>
                <w:szCs w:val="21"/>
              </w:rPr>
              <w:t>★(2)监控检修盖板和楼层板的电气安全装置的设置应当符合下列要求之一：</w:t>
            </w:r>
          </w:p>
          <w:p>
            <w:pPr>
              <w:spacing w:line="280" w:lineRule="exact"/>
              <w:rPr>
                <w:rFonts w:cs="宋体"/>
                <w:szCs w:val="21"/>
              </w:rPr>
            </w:pPr>
            <w:r>
              <w:rPr>
                <w:rFonts w:hint="eastAsia" w:cs="宋体"/>
                <w:szCs w:val="21"/>
              </w:rPr>
              <w:t>①移除任何一块检修盖板或者楼层板时，电气安全装置动作；</w:t>
            </w:r>
          </w:p>
          <w:p>
            <w:pPr>
              <w:spacing w:line="280" w:lineRule="exact"/>
              <w:rPr>
                <w:rFonts w:cs="宋体"/>
                <w:szCs w:val="21"/>
              </w:rPr>
            </w:pPr>
            <w:r>
              <w:rPr>
                <w:rFonts w:hint="eastAsia" w:cs="宋体"/>
                <w:szCs w:val="21"/>
              </w:rPr>
              <w:t>②如果机械结构能够保证只能先移除某一块检修盖板或者楼层板时，至少在移除该块检修盖板或者楼层板后，电气安全装置动作</w:t>
            </w:r>
          </w:p>
        </w:tc>
        <w:tc>
          <w:tcPr>
            <w:tcW w:w="6946" w:type="dxa"/>
            <w:vMerge w:val="continue"/>
            <w:shd w:val="clear" w:color="auto" w:fill="auto"/>
            <w:vAlign w:val="center"/>
          </w:tcPr>
          <w:p>
            <w:pP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shd w:val="clear" w:color="auto" w:fill="auto"/>
            <w:vAlign w:val="center"/>
          </w:tcPr>
          <w:p>
            <w:pPr>
              <w:spacing w:line="280" w:lineRule="exact"/>
              <w:jc w:val="center"/>
              <w:rPr>
                <w:rFonts w:cs="宋体"/>
                <w:szCs w:val="21"/>
              </w:rPr>
            </w:pPr>
            <w:r>
              <w:rPr>
                <w:rFonts w:hint="eastAsia" w:cs="宋体"/>
                <w:szCs w:val="21"/>
              </w:rPr>
              <w:t>9</w:t>
            </w:r>
          </w:p>
        </w:tc>
        <w:tc>
          <w:tcPr>
            <w:tcW w:w="854" w:type="dxa"/>
            <w:vMerge w:val="restart"/>
            <w:shd w:val="clear" w:color="auto" w:fill="auto"/>
            <w:vAlign w:val="center"/>
          </w:tcPr>
          <w:p>
            <w:pPr>
              <w:spacing w:line="280" w:lineRule="exact"/>
              <w:jc w:val="center"/>
              <w:rPr>
                <w:rFonts w:cs="宋体"/>
                <w:szCs w:val="21"/>
              </w:rPr>
            </w:pPr>
            <w:r>
              <w:rPr>
                <w:rFonts w:hint="eastAsia" w:cs="宋体"/>
                <w:szCs w:val="21"/>
              </w:rPr>
              <w:t>6.12</w:t>
            </w:r>
          </w:p>
          <w:p>
            <w:pPr>
              <w:spacing w:line="280" w:lineRule="exact"/>
              <w:jc w:val="center"/>
              <w:rPr>
                <w:rFonts w:cs="宋体"/>
                <w:szCs w:val="21"/>
              </w:rPr>
            </w:pPr>
            <w:r>
              <w:rPr>
                <w:rFonts w:hint="eastAsia" w:cs="宋体"/>
                <w:szCs w:val="21"/>
              </w:rPr>
              <w:t>制动器</w:t>
            </w:r>
          </w:p>
          <w:p>
            <w:pPr>
              <w:spacing w:line="280" w:lineRule="exact"/>
              <w:jc w:val="center"/>
              <w:rPr>
                <w:rFonts w:cs="宋体"/>
                <w:szCs w:val="21"/>
              </w:rPr>
            </w:pPr>
            <w:r>
              <w:rPr>
                <w:rFonts w:hint="eastAsia" w:cs="宋体"/>
                <w:szCs w:val="21"/>
              </w:rPr>
              <w:t>松闸故障保护</w:t>
            </w:r>
          </w:p>
          <w:p>
            <w:pPr>
              <w:spacing w:line="280" w:lineRule="exact"/>
              <w:jc w:val="center"/>
              <w:rPr>
                <w:rFonts w:cs="宋体"/>
                <w:color w:val="FF0000"/>
                <w:szCs w:val="21"/>
              </w:rPr>
            </w:pPr>
            <w:r>
              <w:rPr>
                <w:rFonts w:hint="eastAsia" w:cs="宋体"/>
                <w:szCs w:val="21"/>
              </w:rPr>
              <w:t>（</w:t>
            </w:r>
            <w:r>
              <w:rPr>
                <w:rFonts w:cs="宋体"/>
                <w:szCs w:val="21"/>
              </w:rPr>
              <w:t>B</w:t>
            </w:r>
            <w:r>
              <w:rPr>
                <w:rFonts w:hint="eastAsia" w:cs="宋体"/>
                <w:szCs w:val="21"/>
              </w:rPr>
              <w:t>）</w:t>
            </w:r>
          </w:p>
        </w:tc>
        <w:tc>
          <w:tcPr>
            <w:tcW w:w="5383" w:type="dxa"/>
            <w:shd w:val="clear" w:color="auto" w:fill="auto"/>
            <w:vAlign w:val="center"/>
          </w:tcPr>
          <w:p>
            <w:pPr>
              <w:spacing w:line="280" w:lineRule="exact"/>
              <w:rPr>
                <w:rFonts w:cs="宋体"/>
                <w:szCs w:val="21"/>
              </w:rPr>
            </w:pPr>
            <w:r>
              <w:rPr>
                <w:rFonts w:hint="eastAsia" w:cs="宋体"/>
                <w:szCs w:val="21"/>
              </w:rPr>
              <w:t>★(1)应当设置制动系统监控装置，当自动扶梯或者自动人行道启动后制动系统没有松闸时，驱动主机应当立即停止运行；</w:t>
            </w:r>
          </w:p>
        </w:tc>
        <w:tc>
          <w:tcPr>
            <w:tcW w:w="6946" w:type="dxa"/>
            <w:vMerge w:val="restart"/>
            <w:shd w:val="clear" w:color="auto" w:fill="auto"/>
            <w:vAlign w:val="center"/>
          </w:tcPr>
          <w:p>
            <w:pPr>
              <w:rPr>
                <w:rFonts w:cs="宋体"/>
                <w:szCs w:val="21"/>
              </w:rPr>
            </w:pPr>
            <w:r>
              <w:rPr>
                <w:rFonts w:hint="eastAsia" w:cs="宋体"/>
                <w:szCs w:val="21"/>
              </w:rPr>
              <w:t>由维护保养单位按照制造单位提供的方法进行试验，检验人员现场观察、确认。</w:t>
            </w:r>
          </w:p>
          <w:p>
            <w:pPr>
              <w:rPr>
                <w:rFonts w:cs="宋体"/>
                <w:szCs w:val="21"/>
              </w:rPr>
            </w:pPr>
            <w:r>
              <w:rPr>
                <w:rFonts w:hint="eastAsia" w:cs="宋体"/>
                <w:szCs w:val="21"/>
              </w:rPr>
              <w:t>【补充说明】</w:t>
            </w:r>
          </w:p>
          <w:p>
            <w:pPr>
              <w:rPr>
                <w:rFonts w:cs="宋体"/>
                <w:szCs w:val="21"/>
              </w:rPr>
            </w:pPr>
            <w:r>
              <w:rPr>
                <w:rFonts w:hint="eastAsia" w:cs="宋体"/>
                <w:szCs w:val="21"/>
              </w:rPr>
              <w:t>①该项保护装置在检修状态下不要求起作用；</w:t>
            </w:r>
          </w:p>
          <w:p>
            <w:pPr>
              <w:rPr>
                <w:rFonts w:cs="宋体"/>
                <w:szCs w:val="21"/>
              </w:rPr>
            </w:pPr>
            <w:r>
              <w:rPr>
                <w:rFonts w:hint="eastAsia" w:cs="宋体"/>
                <w:szCs w:val="21"/>
              </w:rPr>
              <w:t>②</w:t>
            </w:r>
            <w:r>
              <w:rPr>
                <w:rFonts w:cs="宋体"/>
                <w:szCs w:val="21"/>
              </w:rPr>
              <w:t>对于允许按照GB16899-1997及更早期标准生产的自动扶梯和自动人行道，</w:t>
            </w:r>
            <w:r>
              <w:rPr>
                <w:rFonts w:hint="eastAsia" w:cs="宋体"/>
                <w:szCs w:val="21"/>
              </w:rPr>
              <w:t>本项</w:t>
            </w:r>
            <w:r>
              <w:rPr>
                <w:rFonts w:cs="宋体"/>
                <w:szCs w:val="21"/>
              </w:rPr>
              <w:t>检验内容要求不适用</w:t>
            </w:r>
            <w:r>
              <w:rPr>
                <w:rFonts w:hint="eastAsia"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shd w:val="clear" w:color="auto" w:fill="auto"/>
            <w:vAlign w:val="center"/>
          </w:tcPr>
          <w:p>
            <w:pPr>
              <w:spacing w:line="280" w:lineRule="exact"/>
              <w:jc w:val="center"/>
              <w:rPr>
                <w:rFonts w:cs="宋体"/>
                <w:szCs w:val="21"/>
              </w:rPr>
            </w:pPr>
          </w:p>
        </w:tc>
        <w:tc>
          <w:tcPr>
            <w:tcW w:w="854" w:type="dxa"/>
            <w:vMerge w:val="continue"/>
            <w:shd w:val="clear" w:color="auto" w:fill="auto"/>
            <w:vAlign w:val="center"/>
          </w:tcPr>
          <w:p>
            <w:pPr>
              <w:spacing w:line="280" w:lineRule="exact"/>
              <w:jc w:val="center"/>
              <w:rPr>
                <w:rFonts w:cs="宋体"/>
                <w:szCs w:val="21"/>
              </w:rPr>
            </w:pPr>
          </w:p>
        </w:tc>
        <w:tc>
          <w:tcPr>
            <w:tcW w:w="5383" w:type="dxa"/>
            <w:shd w:val="clear" w:color="auto" w:fill="auto"/>
            <w:vAlign w:val="center"/>
          </w:tcPr>
          <w:p>
            <w:pPr>
              <w:spacing w:line="280" w:lineRule="exact"/>
              <w:rPr>
                <w:rFonts w:cs="宋体"/>
                <w:szCs w:val="21"/>
              </w:rPr>
            </w:pPr>
            <w:r>
              <w:rPr>
                <w:rFonts w:hint="eastAsia" w:cs="宋体"/>
                <w:szCs w:val="21"/>
              </w:rPr>
              <w:t>★(2)该装置动作后，只有手动复位故障锁定，并且操作开关或者检修控制装置才能重新启动自动扶梯或者自动人行道。即使电源发生故障或者恢复供电，此故障锁定应当始终保持有效</w:t>
            </w:r>
          </w:p>
        </w:tc>
        <w:tc>
          <w:tcPr>
            <w:tcW w:w="6946" w:type="dxa"/>
            <w:vMerge w:val="continue"/>
            <w:shd w:val="clear" w:color="auto" w:fill="auto"/>
            <w:vAlign w:val="center"/>
          </w:tcPr>
          <w:p>
            <w:pP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auto"/>
            <w:vAlign w:val="center"/>
          </w:tcPr>
          <w:p>
            <w:pPr>
              <w:spacing w:line="280" w:lineRule="exact"/>
              <w:jc w:val="center"/>
              <w:rPr>
                <w:rFonts w:cs="宋体"/>
                <w:szCs w:val="21"/>
              </w:rPr>
            </w:pPr>
            <w:r>
              <w:rPr>
                <w:rFonts w:cs="宋体"/>
                <w:szCs w:val="21"/>
              </w:rPr>
              <w:t>10</w:t>
            </w:r>
          </w:p>
        </w:tc>
        <w:tc>
          <w:tcPr>
            <w:tcW w:w="854" w:type="dxa"/>
            <w:shd w:val="clear" w:color="auto" w:fill="auto"/>
            <w:vAlign w:val="center"/>
          </w:tcPr>
          <w:p>
            <w:pPr>
              <w:spacing w:line="280" w:lineRule="exact"/>
              <w:jc w:val="center"/>
              <w:rPr>
                <w:rFonts w:cs="宋体"/>
                <w:szCs w:val="21"/>
              </w:rPr>
            </w:pPr>
            <w:r>
              <w:rPr>
                <w:rFonts w:hint="eastAsia" w:cs="宋体"/>
                <w:szCs w:val="21"/>
              </w:rPr>
              <w:t>9.1</w:t>
            </w:r>
          </w:p>
          <w:p>
            <w:pPr>
              <w:spacing w:line="280" w:lineRule="exact"/>
              <w:jc w:val="center"/>
              <w:rPr>
                <w:rFonts w:cs="宋体"/>
                <w:szCs w:val="21"/>
              </w:rPr>
            </w:pPr>
            <w:r>
              <w:rPr>
                <w:rFonts w:hint="eastAsia" w:cs="宋体"/>
                <w:szCs w:val="21"/>
              </w:rPr>
              <w:t>使用须知（B）</w:t>
            </w:r>
          </w:p>
        </w:tc>
        <w:tc>
          <w:tcPr>
            <w:tcW w:w="5383" w:type="dxa"/>
            <w:shd w:val="clear" w:color="auto" w:fill="auto"/>
            <w:vAlign w:val="center"/>
          </w:tcPr>
          <w:p>
            <w:pPr>
              <w:rPr>
                <w:rFonts w:cs="宋体"/>
                <w:szCs w:val="21"/>
              </w:rPr>
            </w:pPr>
            <w:r>
              <w:rPr>
                <w:rFonts w:hint="eastAsia" w:cs="宋体"/>
                <w:szCs w:val="21"/>
              </w:rPr>
              <w:t>在自动扶梯或自动人行道入口处应当设置使用须知的标牌，标牌须包括以下内容：</w:t>
            </w:r>
          </w:p>
          <w:p>
            <w:pPr>
              <w:rPr>
                <w:rFonts w:cs="宋体"/>
                <w:szCs w:val="21"/>
              </w:rPr>
            </w:pPr>
            <w:r>
              <w:rPr>
                <w:rFonts w:hint="eastAsia" w:cs="宋体"/>
                <w:szCs w:val="21"/>
              </w:rPr>
              <w:t>①应拉住小孩；</w:t>
            </w:r>
          </w:p>
          <w:p>
            <w:pPr>
              <w:rPr>
                <w:rFonts w:cs="宋体"/>
                <w:szCs w:val="21"/>
              </w:rPr>
            </w:pPr>
            <w:r>
              <w:rPr>
                <w:rFonts w:hint="eastAsia" w:cs="宋体"/>
                <w:szCs w:val="21"/>
              </w:rPr>
              <w:t>②应抱住宠物；</w:t>
            </w:r>
          </w:p>
          <w:p>
            <w:pPr>
              <w:rPr>
                <w:rFonts w:cs="宋体"/>
                <w:szCs w:val="21"/>
              </w:rPr>
            </w:pPr>
            <w:r>
              <w:rPr>
                <w:rFonts w:hint="eastAsia" w:cs="宋体"/>
                <w:szCs w:val="21"/>
              </w:rPr>
              <w:t>③握住扶手带；</w:t>
            </w:r>
          </w:p>
          <w:p>
            <w:pPr>
              <w:rPr>
                <w:rFonts w:cs="宋体"/>
                <w:szCs w:val="21"/>
              </w:rPr>
            </w:pPr>
            <w:r>
              <w:rPr>
                <w:rFonts w:hint="eastAsia" w:cs="宋体"/>
                <w:szCs w:val="21"/>
              </w:rPr>
              <w:t>④禁止使用非专用手推车(无坡度自动人行道除外)。</w:t>
            </w:r>
          </w:p>
          <w:p>
            <w:pPr>
              <w:rPr>
                <w:rFonts w:cs="宋体"/>
                <w:szCs w:val="21"/>
              </w:rPr>
            </w:pPr>
            <w:r>
              <w:rPr>
                <w:rFonts w:hint="eastAsia" w:cs="宋体"/>
                <w:szCs w:val="21"/>
              </w:rPr>
              <w:t>这些使用须知，应尽可能用象形图表示。</w:t>
            </w:r>
          </w:p>
        </w:tc>
        <w:tc>
          <w:tcPr>
            <w:tcW w:w="6946" w:type="dxa"/>
            <w:shd w:val="clear" w:color="auto" w:fill="auto"/>
          </w:tcPr>
          <w:p>
            <w:pPr>
              <w:rPr>
                <w:rFonts w:cs="宋体"/>
                <w:szCs w:val="21"/>
              </w:rPr>
            </w:pPr>
            <w:r>
              <w:rPr>
                <w:rFonts w:hint="eastAsia" w:cs="宋体"/>
                <w:szCs w:val="21"/>
              </w:rPr>
              <w:t>外观检查。</w:t>
            </w:r>
          </w:p>
          <w:p>
            <w:pPr>
              <w:rPr>
                <w:rFonts w:cs="宋体"/>
                <w:szCs w:val="21"/>
              </w:rPr>
            </w:pPr>
            <w:r>
              <w:rPr>
                <w:rFonts w:hint="eastAsia" w:cs="宋体"/>
                <w:szCs w:val="21"/>
              </w:rPr>
              <w:t>【补充说明】</w:t>
            </w:r>
          </w:p>
          <w:p>
            <w:pPr>
              <w:rPr>
                <w:rFonts w:cs="宋体"/>
                <w:szCs w:val="21"/>
              </w:rPr>
            </w:pPr>
            <w:r>
              <w:rPr>
                <w:rFonts w:hint="eastAsia" w:cs="宋体"/>
                <w:szCs w:val="21"/>
              </w:rPr>
              <w:t>标志应由经久耐用的材料制成，设置在醒目的位置。可使用图</w:t>
            </w:r>
            <w:r>
              <w:rPr>
                <w:rFonts w:cs="宋体"/>
                <w:szCs w:val="21"/>
              </w:rPr>
              <w:t>6</w:t>
            </w:r>
            <w:r>
              <w:rPr>
                <w:rFonts w:hint="eastAsia" w:cs="宋体"/>
                <w:szCs w:val="21"/>
              </w:rPr>
              <w:t>所</w:t>
            </w:r>
            <w:r>
              <w:rPr>
                <w:rFonts w:cs="宋体"/>
                <w:szCs w:val="21"/>
              </w:rPr>
              <w:t>示</w:t>
            </w:r>
            <w:r>
              <w:rPr>
                <w:rFonts w:hint="eastAsia" w:cs="宋体"/>
                <w:szCs w:val="21"/>
              </w:rPr>
              <w:t>指令标志和禁止标志。</w:t>
            </w:r>
          </w:p>
          <w:tbl>
            <w:tblPr>
              <w:tblStyle w:val="10"/>
              <w:tblW w:w="3633" w:type="dxa"/>
              <w:jc w:val="center"/>
              <w:tblLayout w:type="fixed"/>
              <w:tblCellMar>
                <w:top w:w="0" w:type="dxa"/>
                <w:left w:w="108" w:type="dxa"/>
                <w:bottom w:w="0" w:type="dxa"/>
                <w:right w:w="108" w:type="dxa"/>
              </w:tblCellMar>
            </w:tblPr>
            <w:tblGrid>
              <w:gridCol w:w="3633"/>
            </w:tblGrid>
            <w:tr>
              <w:tblPrEx>
                <w:tblCellMar>
                  <w:top w:w="0" w:type="dxa"/>
                  <w:left w:w="108" w:type="dxa"/>
                  <w:bottom w:w="0" w:type="dxa"/>
                  <w:right w:w="108" w:type="dxa"/>
                </w:tblCellMar>
              </w:tblPrEx>
              <w:trPr>
                <w:jc w:val="center"/>
              </w:trPr>
              <w:tc>
                <w:tcPr>
                  <w:tcW w:w="3633" w:type="dxa"/>
                  <w:shd w:val="clear" w:color="auto" w:fill="auto"/>
                </w:tcPr>
                <w:p>
                  <w:pPr>
                    <w:spacing w:line="280" w:lineRule="exact"/>
                    <w:rPr>
                      <w:rFonts w:cs="宋体"/>
                      <w:szCs w:val="21"/>
                    </w:rPr>
                  </w:pPr>
                  <w:r>
                    <w:drawing>
                      <wp:anchor distT="0" distB="0" distL="114300" distR="114300" simplePos="0" relativeHeight="251643904" behindDoc="0" locked="0" layoutInCell="1" allowOverlap="1">
                        <wp:simplePos x="0" y="0"/>
                        <wp:positionH relativeFrom="page">
                          <wp:posOffset>512445</wp:posOffset>
                        </wp:positionH>
                        <wp:positionV relativeFrom="page">
                          <wp:posOffset>-45085</wp:posOffset>
                        </wp:positionV>
                        <wp:extent cx="1343660" cy="1428750"/>
                        <wp:effectExtent l="19050" t="0" r="8890" b="0"/>
                        <wp:wrapSquare wrapText="bothSides"/>
                        <wp:docPr id="4" name="图片 2" descr="出入口标志"/>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2" descr="出入口标志"/>
                                <pic:cNvPicPr>
                                  <a:picLocks noChangeAspect="true" noChangeArrowheads="true"/>
                                </pic:cNvPicPr>
                              </pic:nvPicPr>
                              <pic:blipFill>
                                <a:blip r:embed="rId9" cstate="print"/>
                                <a:srcRect/>
                                <a:stretch>
                                  <a:fillRect/>
                                </a:stretch>
                              </pic:blipFill>
                              <pic:spPr>
                                <a:xfrm>
                                  <a:off x="0" y="0"/>
                                  <a:ext cx="1343660" cy="1428750"/>
                                </a:xfrm>
                                <a:prstGeom prst="rect">
                                  <a:avLst/>
                                </a:prstGeom>
                                <a:noFill/>
                                <a:ln w="9525">
                                  <a:noFill/>
                                  <a:miter lim="800000"/>
                                  <a:headEnd/>
                                  <a:tailEnd/>
                                </a:ln>
                              </pic:spPr>
                            </pic:pic>
                          </a:graphicData>
                        </a:graphic>
                      </wp:anchor>
                    </w:drawing>
                  </w:r>
                </w:p>
              </w:tc>
            </w:tr>
            <w:tr>
              <w:tblPrEx>
                <w:tblCellMar>
                  <w:top w:w="0" w:type="dxa"/>
                  <w:left w:w="108" w:type="dxa"/>
                  <w:bottom w:w="0" w:type="dxa"/>
                  <w:right w:w="108" w:type="dxa"/>
                </w:tblCellMar>
              </w:tblPrEx>
              <w:trPr>
                <w:jc w:val="center"/>
              </w:trPr>
              <w:tc>
                <w:tcPr>
                  <w:tcW w:w="3633" w:type="dxa"/>
                  <w:shd w:val="clear" w:color="auto" w:fill="auto"/>
                </w:tcPr>
                <w:p>
                  <w:pPr>
                    <w:spacing w:line="280" w:lineRule="exact"/>
                    <w:jc w:val="center"/>
                    <w:rPr>
                      <w:rFonts w:cs="宋体"/>
                      <w:szCs w:val="21"/>
                    </w:rPr>
                  </w:pPr>
                  <w:r>
                    <w:rPr>
                      <w:rFonts w:hint="eastAsia" w:cs="宋体"/>
                      <w:szCs w:val="21"/>
                    </w:rPr>
                    <w:t>图</w:t>
                  </w:r>
                  <w:r>
                    <w:rPr>
                      <w:rFonts w:cs="宋体"/>
                      <w:szCs w:val="21"/>
                    </w:rPr>
                    <w:t>6</w:t>
                  </w:r>
                  <w:r>
                    <w:rPr>
                      <w:rFonts w:hint="eastAsia" w:cs="宋体"/>
                      <w:szCs w:val="21"/>
                    </w:rPr>
                    <w:t xml:space="preserve">  使用须知</w:t>
                  </w:r>
                </w:p>
              </w:tc>
            </w:tr>
          </w:tbl>
          <w:p>
            <w:pPr>
              <w:spacing w:line="280" w:lineRule="exact"/>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auto"/>
            <w:vAlign w:val="center"/>
          </w:tcPr>
          <w:p>
            <w:pPr>
              <w:jc w:val="center"/>
              <w:rPr>
                <w:rFonts w:cs="宋体"/>
                <w:szCs w:val="21"/>
              </w:rPr>
            </w:pPr>
            <w:r>
              <w:rPr>
                <w:rFonts w:cs="宋体"/>
                <w:szCs w:val="21"/>
              </w:rPr>
              <w:t>11</w:t>
            </w:r>
          </w:p>
        </w:tc>
        <w:tc>
          <w:tcPr>
            <w:tcW w:w="854" w:type="dxa"/>
            <w:shd w:val="clear" w:color="auto" w:fill="auto"/>
            <w:vAlign w:val="center"/>
          </w:tcPr>
          <w:p>
            <w:pPr>
              <w:jc w:val="center"/>
              <w:rPr>
                <w:rFonts w:cs="宋体"/>
                <w:szCs w:val="21"/>
              </w:rPr>
            </w:pPr>
            <w:r>
              <w:rPr>
                <w:rFonts w:hint="eastAsia" w:cs="宋体"/>
                <w:szCs w:val="21"/>
              </w:rPr>
              <w:t>10.3</w:t>
            </w:r>
          </w:p>
          <w:p>
            <w:pPr>
              <w:jc w:val="center"/>
              <w:rPr>
                <w:rFonts w:cs="宋体"/>
                <w:szCs w:val="21"/>
              </w:rPr>
            </w:pPr>
            <w:r>
              <w:rPr>
                <w:rFonts w:hint="eastAsia" w:cs="宋体"/>
                <w:szCs w:val="21"/>
              </w:rPr>
              <w:t>制停距离（B）</w:t>
            </w:r>
          </w:p>
        </w:tc>
        <w:tc>
          <w:tcPr>
            <w:tcW w:w="5383" w:type="dxa"/>
            <w:shd w:val="clear" w:color="auto" w:fill="auto"/>
          </w:tcPr>
          <w:p>
            <w:pPr>
              <w:rPr>
                <w:rFonts w:cs="宋体"/>
                <w:szCs w:val="21"/>
              </w:rPr>
            </w:pPr>
            <w:r>
              <w:rPr>
                <w:rFonts w:hint="eastAsia" w:cs="宋体"/>
                <w:szCs w:val="21"/>
              </w:rPr>
              <w:t>自动扶梯或自动人行道的制停距离：</w:t>
            </w:r>
          </w:p>
          <w:p>
            <w:pPr>
              <w:rPr>
                <w:rFonts w:cs="宋体"/>
                <w:szCs w:val="21"/>
              </w:rPr>
            </w:pPr>
            <w:r>
              <w:rPr>
                <w:rFonts w:hint="eastAsia" w:cs="宋体"/>
                <w:szCs w:val="21"/>
              </w:rPr>
              <w:t>①空载和有载向下运行的自动扶梯：</w:t>
            </w:r>
          </w:p>
          <w:p>
            <w:pPr>
              <w:ind w:firstLine="105" w:firstLineChars="50"/>
              <w:rPr>
                <w:rFonts w:cs="宋体"/>
                <w:szCs w:val="21"/>
              </w:rPr>
            </w:pPr>
            <w:r>
              <w:rPr>
                <w:rFonts w:hint="eastAsia" w:cs="宋体"/>
                <w:szCs w:val="21"/>
              </w:rPr>
              <w:t>名义速度　  制停距离范围</w:t>
            </w:r>
          </w:p>
          <w:p>
            <w:pPr>
              <w:ind w:firstLine="210" w:firstLineChars="100"/>
              <w:rPr>
                <w:rFonts w:cs="宋体"/>
                <w:szCs w:val="21"/>
              </w:rPr>
            </w:pPr>
            <w:r>
              <w:rPr>
                <w:rFonts w:hint="eastAsia" w:cs="宋体"/>
                <w:szCs w:val="21"/>
              </w:rPr>
              <w:t>0.50m/s     0.20～1.00m　　</w:t>
            </w:r>
          </w:p>
          <w:p>
            <w:pPr>
              <w:ind w:firstLine="210" w:firstLineChars="100"/>
              <w:rPr>
                <w:rFonts w:cs="宋体"/>
                <w:szCs w:val="21"/>
              </w:rPr>
            </w:pPr>
            <w:r>
              <w:rPr>
                <w:rFonts w:hint="eastAsia" w:cs="宋体"/>
                <w:szCs w:val="21"/>
              </w:rPr>
              <w:t>0.65m/s 　  0.30～1.30m</w:t>
            </w:r>
          </w:p>
          <w:p>
            <w:pPr>
              <w:ind w:firstLine="210" w:firstLineChars="100"/>
              <w:rPr>
                <w:rFonts w:cs="宋体"/>
                <w:szCs w:val="21"/>
              </w:rPr>
            </w:pPr>
            <w:r>
              <w:rPr>
                <w:rFonts w:hint="eastAsia" w:cs="宋体"/>
                <w:szCs w:val="21"/>
              </w:rPr>
              <w:t>0.75m/s 　  0.40～1.50m</w:t>
            </w:r>
          </w:p>
          <w:p>
            <w:pPr>
              <w:rPr>
                <w:rFonts w:cs="宋体"/>
                <w:szCs w:val="21"/>
              </w:rPr>
            </w:pPr>
            <w:r>
              <w:rPr>
                <w:rFonts w:hint="eastAsia" w:cs="宋体"/>
                <w:szCs w:val="21"/>
              </w:rPr>
              <w:t>②空载和有载水平运行或有载向下运行的自动人行道：</w:t>
            </w:r>
          </w:p>
          <w:p>
            <w:pPr>
              <w:ind w:firstLine="105" w:firstLineChars="50"/>
              <w:rPr>
                <w:rFonts w:cs="宋体"/>
                <w:szCs w:val="21"/>
              </w:rPr>
            </w:pPr>
            <w:r>
              <w:rPr>
                <w:rFonts w:hint="eastAsia" w:cs="宋体"/>
                <w:szCs w:val="21"/>
              </w:rPr>
              <w:t>名义速度    制停距离范围　　</w:t>
            </w:r>
          </w:p>
          <w:p>
            <w:pPr>
              <w:ind w:firstLine="210" w:firstLineChars="100"/>
              <w:rPr>
                <w:rFonts w:cs="宋体"/>
                <w:szCs w:val="21"/>
              </w:rPr>
            </w:pPr>
            <w:r>
              <w:rPr>
                <w:rFonts w:hint="eastAsia" w:cs="宋体"/>
                <w:szCs w:val="21"/>
              </w:rPr>
              <w:t>0.50m/s 　　0.20～1.00m</w:t>
            </w:r>
          </w:p>
          <w:p>
            <w:pPr>
              <w:ind w:firstLine="210" w:firstLineChars="100"/>
              <w:rPr>
                <w:rFonts w:cs="宋体"/>
                <w:szCs w:val="21"/>
              </w:rPr>
            </w:pPr>
            <w:r>
              <w:rPr>
                <w:rFonts w:hint="eastAsia" w:cs="宋体"/>
                <w:szCs w:val="21"/>
              </w:rPr>
              <w:t>0.65m/s 　　0.30～1.30m</w:t>
            </w:r>
          </w:p>
          <w:p>
            <w:pPr>
              <w:ind w:firstLine="210" w:firstLineChars="100"/>
              <w:rPr>
                <w:rFonts w:cs="宋体"/>
                <w:szCs w:val="21"/>
              </w:rPr>
            </w:pPr>
            <w:r>
              <w:rPr>
                <w:rFonts w:hint="eastAsia" w:cs="宋体"/>
                <w:szCs w:val="21"/>
              </w:rPr>
              <w:t>0.75m/s 　　0.40～1.50m</w:t>
            </w:r>
          </w:p>
          <w:p>
            <w:pPr>
              <w:ind w:firstLine="210" w:firstLineChars="100"/>
              <w:rPr>
                <w:rFonts w:cs="宋体"/>
                <w:szCs w:val="21"/>
              </w:rPr>
            </w:pPr>
            <w:r>
              <w:rPr>
                <w:rFonts w:hint="eastAsia" w:cs="宋体"/>
                <w:szCs w:val="21"/>
              </w:rPr>
              <w:t>0.90m/s　　 0.55～1.70m</w:t>
            </w:r>
          </w:p>
          <w:p>
            <w:pPr>
              <w:ind w:firstLine="420" w:firstLineChars="200"/>
              <w:rPr>
                <w:rFonts w:cs="宋体"/>
                <w:szCs w:val="21"/>
              </w:rPr>
            </w:pPr>
          </w:p>
        </w:tc>
        <w:tc>
          <w:tcPr>
            <w:tcW w:w="6946" w:type="dxa"/>
            <w:shd w:val="clear" w:color="auto" w:fill="auto"/>
          </w:tcPr>
          <w:p>
            <w:pPr>
              <w:spacing w:line="280" w:lineRule="exact"/>
              <w:rPr>
                <w:rFonts w:cs="宋体"/>
                <w:szCs w:val="21"/>
              </w:rPr>
            </w:pPr>
            <w:r>
              <w:rPr>
                <w:rFonts w:cs="宋体"/>
                <w:szCs w:val="21"/>
              </w:rPr>
              <w:t>制停距离应从电气制动装置动作时开始测量。只做空载试验。</w:t>
            </w:r>
          </w:p>
          <w:p>
            <w:pPr>
              <w:spacing w:line="280" w:lineRule="exact"/>
              <w:rPr>
                <w:rFonts w:cs="宋体"/>
                <w:szCs w:val="21"/>
              </w:rPr>
            </w:pPr>
            <w:r>
              <w:rPr>
                <w:rFonts w:cs="宋体"/>
                <w:szCs w:val="21"/>
              </w:rPr>
              <w:t>（1）仪器测量；</w:t>
            </w:r>
          </w:p>
          <w:p>
            <w:pPr>
              <w:spacing w:line="280" w:lineRule="exact"/>
              <w:rPr>
                <w:rFonts w:cs="宋体"/>
                <w:szCs w:val="21"/>
              </w:rPr>
            </w:pPr>
            <w:r>
              <w:rPr>
                <w:rFonts w:cs="宋体"/>
                <w:szCs w:val="21"/>
              </w:rPr>
              <w:t>（2）标记测量：</w:t>
            </w:r>
          </w:p>
          <w:p>
            <w:pPr>
              <w:spacing w:line="280" w:lineRule="exact"/>
              <w:rPr>
                <w:rFonts w:cs="宋体"/>
                <w:szCs w:val="21"/>
              </w:rPr>
            </w:pPr>
            <w:r>
              <w:rPr>
                <w:rFonts w:hint="eastAsia" w:cs="宋体"/>
                <w:szCs w:val="21"/>
              </w:rPr>
              <w:t>①</w:t>
            </w:r>
            <w:r>
              <w:rPr>
                <w:rFonts w:cs="宋体"/>
                <w:szCs w:val="21"/>
              </w:rPr>
              <w:t>在梯级、踏板或胶带和围裙板上作好标记；</w:t>
            </w:r>
          </w:p>
          <w:p>
            <w:pPr>
              <w:spacing w:line="280" w:lineRule="exact"/>
              <w:rPr>
                <w:rFonts w:cs="宋体"/>
                <w:szCs w:val="21"/>
              </w:rPr>
            </w:pPr>
            <w:r>
              <w:rPr>
                <w:rFonts w:hint="eastAsia" w:cs="宋体"/>
                <w:szCs w:val="21"/>
              </w:rPr>
              <w:t>②</w:t>
            </w:r>
            <w:r>
              <w:rPr>
                <w:rFonts w:cs="宋体"/>
                <w:szCs w:val="21"/>
              </w:rPr>
              <w:t>操作自动扶梯或自动人行道运行到达名义速度，至标记重合对齐时按紧急停止开关或切断电源，用卷尺测量两标记之间距离即为制停距离。空载制停距离应满足10.3要求。</w:t>
            </w:r>
          </w:p>
          <w:p>
            <w:pPr>
              <w:spacing w:line="280" w:lineRule="exact"/>
              <w:rPr>
                <w:rFonts w:cs="宋体"/>
                <w:szCs w:val="21"/>
              </w:rPr>
            </w:pPr>
            <w:r>
              <w:rPr>
                <w:rFonts w:cs="宋体"/>
                <w:szCs w:val="21"/>
              </w:rPr>
              <w:t>（2）选用电梯/人行道多功能检测仪进行测量。</w:t>
            </w:r>
          </w:p>
          <w:p>
            <w:pPr>
              <w:spacing w:line="280" w:lineRule="exact"/>
              <w:rPr>
                <w:rFonts w:cs="宋体"/>
                <w:szCs w:val="21"/>
              </w:rPr>
            </w:pPr>
            <w:r>
              <w:rPr>
                <w:rFonts w:cs="宋体"/>
                <w:szCs w:val="21"/>
              </w:rPr>
              <w:t>【补充说明】</w:t>
            </w:r>
          </w:p>
          <w:p>
            <w:pPr>
              <w:spacing w:line="280" w:lineRule="exact"/>
              <w:rPr>
                <w:rFonts w:cs="宋体"/>
                <w:szCs w:val="21"/>
              </w:rPr>
            </w:pPr>
            <w:r>
              <w:rPr>
                <w:rFonts w:cs="宋体"/>
                <w:szCs w:val="21"/>
              </w:rPr>
              <w:t>（1）制停距离范围不包括端点数值[GB16899-2011 5.4.2.1.3表3表5]。</w:t>
            </w:r>
          </w:p>
          <w:p>
            <w:pPr>
              <w:spacing w:line="280" w:lineRule="exact"/>
              <w:rPr>
                <w:rFonts w:cs="宋体"/>
                <w:szCs w:val="21"/>
              </w:rPr>
            </w:pPr>
            <w:r>
              <w:rPr>
                <w:rFonts w:hint="eastAsia" w:cs="宋体"/>
                <w:szCs w:val="21"/>
              </w:rPr>
              <w:t>（2）</w:t>
            </w:r>
            <w:r>
              <w:rPr>
                <w:rFonts w:cs="宋体"/>
                <w:szCs w:val="21"/>
              </w:rPr>
              <w:t>额定速度为0.45m/s的自动扶梯或自动人行道，其制停距离按照0.5m/s速度的要求实施；</w:t>
            </w:r>
          </w:p>
          <w:p>
            <w:pPr>
              <w:spacing w:line="280" w:lineRule="exact"/>
              <w:rPr>
                <w:rFonts w:cs="宋体"/>
                <w:szCs w:val="21"/>
              </w:rPr>
            </w:pPr>
            <w:r>
              <w:rPr>
                <w:rFonts w:hint="eastAsia" w:cs="宋体"/>
                <w:szCs w:val="21"/>
              </w:rPr>
              <w:t>（3）</w:t>
            </w:r>
            <w:r>
              <w:rPr>
                <w:rFonts w:cs="宋体"/>
                <w:szCs w:val="21"/>
              </w:rPr>
              <w:t>对自动扶梯，“空载和有载向下运行”，“空载”应为空载向上、向下运行；对自动人行道，“空载和有载水平运行或有载向下”，“空载”应为空载向上、向下或水平双方向运行；</w:t>
            </w:r>
          </w:p>
          <w:p>
            <w:pPr>
              <w:spacing w:line="280" w:lineRule="exact"/>
              <w:rPr>
                <w:rFonts w:cs="宋体"/>
                <w:szCs w:val="21"/>
              </w:rPr>
            </w:pPr>
            <w:r>
              <w:rPr>
                <w:rFonts w:hint="eastAsia" w:cs="宋体"/>
                <w:szCs w:val="21"/>
              </w:rPr>
              <w:t>（4）</w:t>
            </w:r>
            <w:r>
              <w:rPr>
                <w:rFonts w:cs="宋体"/>
                <w:szCs w:val="21"/>
              </w:rPr>
              <w:t>对只能单向运行的自动扶梯和自动人行道，空载制动距离只要测量制造设计或使用规定的运行方向。对单向运行的情况检验记录应进行备注，并附相关使用单位使用规定的文件说明。对下行方向，如非制造设计原因，仍应进行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auto"/>
            <w:vAlign w:val="center"/>
          </w:tcPr>
          <w:p>
            <w:pPr>
              <w:jc w:val="center"/>
              <w:rPr>
                <w:rFonts w:cs="宋体"/>
                <w:szCs w:val="21"/>
              </w:rPr>
            </w:pPr>
            <w:r>
              <w:rPr>
                <w:rFonts w:hint="eastAsia" w:cs="宋体"/>
                <w:szCs w:val="21"/>
              </w:rPr>
              <w:t>12</w:t>
            </w:r>
          </w:p>
        </w:tc>
        <w:tc>
          <w:tcPr>
            <w:tcW w:w="854" w:type="dxa"/>
            <w:shd w:val="clear" w:color="auto" w:fill="auto"/>
            <w:vAlign w:val="center"/>
          </w:tcPr>
          <w:p>
            <w:pPr>
              <w:spacing w:line="240" w:lineRule="exact"/>
              <w:jc w:val="center"/>
              <w:rPr>
                <w:rFonts w:cs="宋体"/>
                <w:szCs w:val="21"/>
              </w:rPr>
            </w:pPr>
            <w:r>
              <w:rPr>
                <w:rFonts w:hint="eastAsia" w:cs="宋体"/>
                <w:szCs w:val="21"/>
              </w:rPr>
              <w:t>驱动主机安装</w:t>
            </w:r>
          </w:p>
          <w:p>
            <w:pPr>
              <w:spacing w:line="240" w:lineRule="exact"/>
              <w:jc w:val="center"/>
              <w:rPr>
                <w:rFonts w:cs="宋体"/>
                <w:szCs w:val="21"/>
              </w:rPr>
            </w:pPr>
            <w:r>
              <w:rPr>
                <w:rFonts w:hint="eastAsia" w:cs="宋体"/>
                <w:szCs w:val="21"/>
              </w:rPr>
              <w:t>（B）</w:t>
            </w:r>
          </w:p>
        </w:tc>
        <w:tc>
          <w:tcPr>
            <w:tcW w:w="5383" w:type="dxa"/>
            <w:shd w:val="clear" w:color="auto" w:fill="auto"/>
            <w:vAlign w:val="center"/>
          </w:tcPr>
          <w:p>
            <w:pPr>
              <w:rPr>
                <w:rFonts w:cs="宋体"/>
                <w:szCs w:val="21"/>
              </w:rPr>
            </w:pPr>
            <w:r>
              <w:rPr>
                <w:rFonts w:hint="eastAsia" w:cs="宋体"/>
                <w:szCs w:val="21"/>
              </w:rPr>
              <w:t>驱动主机应当安装牢固可靠</w:t>
            </w:r>
          </w:p>
        </w:tc>
        <w:tc>
          <w:tcPr>
            <w:tcW w:w="6946" w:type="dxa"/>
            <w:shd w:val="clear" w:color="auto" w:fill="auto"/>
            <w:vAlign w:val="center"/>
          </w:tcPr>
          <w:p>
            <w:pPr>
              <w:autoSpaceDE w:val="0"/>
              <w:autoSpaceDN w:val="0"/>
              <w:adjustRightInd w:val="0"/>
              <w:rPr>
                <w:rFonts w:cs="宋体"/>
                <w:szCs w:val="21"/>
              </w:rPr>
            </w:pPr>
            <w:r>
              <w:rPr>
                <w:rFonts w:hint="eastAsia" w:cs="宋体"/>
                <w:szCs w:val="21"/>
              </w:rPr>
              <w:t>根据驱动主机或者转向站及总体布置图、安装使用维护说明书，检查驱动主机的紧固、防松是否符合要求。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67" w:type="dxa"/>
            <w:vMerge w:val="restart"/>
            <w:shd w:val="clear" w:color="auto" w:fill="auto"/>
            <w:vAlign w:val="center"/>
          </w:tcPr>
          <w:p>
            <w:pPr>
              <w:spacing w:line="280" w:lineRule="exact"/>
              <w:jc w:val="center"/>
              <w:rPr>
                <w:rFonts w:cs="宋体"/>
                <w:szCs w:val="21"/>
              </w:rPr>
            </w:pPr>
            <w:r>
              <w:rPr>
                <w:rFonts w:hint="eastAsia" w:cs="宋体"/>
                <w:szCs w:val="21"/>
              </w:rPr>
              <w:t>1</w:t>
            </w:r>
            <w:r>
              <w:rPr>
                <w:rFonts w:cs="宋体"/>
                <w:szCs w:val="21"/>
              </w:rPr>
              <w:t>3</w:t>
            </w:r>
          </w:p>
        </w:tc>
        <w:tc>
          <w:tcPr>
            <w:tcW w:w="854" w:type="dxa"/>
            <w:vMerge w:val="restart"/>
            <w:shd w:val="clear" w:color="auto" w:fill="auto"/>
            <w:vAlign w:val="center"/>
          </w:tcPr>
          <w:p>
            <w:pPr>
              <w:spacing w:line="240" w:lineRule="exact"/>
              <w:jc w:val="center"/>
              <w:rPr>
                <w:rFonts w:cs="宋体"/>
                <w:szCs w:val="21"/>
              </w:rPr>
            </w:pPr>
            <w:r>
              <w:rPr>
                <w:rFonts w:hint="eastAsia" w:cs="宋体"/>
                <w:szCs w:val="21"/>
              </w:rPr>
              <w:t>扶手带的</w:t>
            </w:r>
            <w:r>
              <w:rPr>
                <w:rFonts w:cs="宋体"/>
                <w:szCs w:val="21"/>
              </w:rPr>
              <w:t>运行</w:t>
            </w:r>
            <w:r>
              <w:rPr>
                <w:rFonts w:hint="eastAsia" w:cs="宋体"/>
                <w:szCs w:val="21"/>
              </w:rPr>
              <w:t>速度偏差</w:t>
            </w:r>
            <w:r>
              <w:rPr>
                <w:rFonts w:cs="宋体"/>
                <w:szCs w:val="21"/>
              </w:rPr>
              <w:t>（C）</w:t>
            </w:r>
          </w:p>
        </w:tc>
        <w:tc>
          <w:tcPr>
            <w:tcW w:w="5383" w:type="dxa"/>
            <w:shd w:val="clear" w:color="auto" w:fill="auto"/>
            <w:vAlign w:val="center"/>
          </w:tcPr>
          <w:p>
            <w:pPr>
              <w:rPr>
                <w:rFonts w:cs="宋体"/>
                <w:szCs w:val="21"/>
              </w:rPr>
            </w:pPr>
            <w:r>
              <w:rPr>
                <w:rFonts w:hint="eastAsia"/>
                <w:bCs/>
                <w:snapToGrid w:val="0"/>
                <w:kern w:val="0"/>
                <w:szCs w:val="21"/>
              </w:rPr>
              <w:t>⑴应当运行正常，无异响和抖动</w:t>
            </w:r>
          </w:p>
        </w:tc>
        <w:tc>
          <w:tcPr>
            <w:tcW w:w="6946" w:type="dxa"/>
            <w:vMerge w:val="restart"/>
            <w:shd w:val="clear" w:color="auto" w:fill="auto"/>
            <w:vAlign w:val="center"/>
          </w:tcPr>
          <w:p>
            <w:pPr>
              <w:autoSpaceDE w:val="0"/>
              <w:autoSpaceDN w:val="0"/>
              <w:adjustRightInd w:val="0"/>
              <w:rPr>
                <w:rFonts w:cs="宋体"/>
                <w:szCs w:val="21"/>
              </w:rPr>
            </w:pPr>
            <w:r>
              <w:rPr>
                <w:rFonts w:cs="宋体"/>
                <w:szCs w:val="21"/>
              </w:rPr>
              <w:t>目测，速度采用以下测量方法：</w:t>
            </w:r>
          </w:p>
          <w:p>
            <w:pPr>
              <w:rPr>
                <w:rFonts w:cs="宋体"/>
                <w:szCs w:val="21"/>
              </w:rPr>
            </w:pPr>
            <w:r>
              <w:rPr>
                <w:rFonts w:hint="eastAsia" w:cs="宋体"/>
                <w:szCs w:val="21"/>
              </w:rPr>
              <w:t>①</w:t>
            </w:r>
            <w:r>
              <w:rPr>
                <w:rFonts w:cs="宋体"/>
                <w:szCs w:val="21"/>
              </w:rPr>
              <w:t>用转速表分别测量左右扶手带和梯级速度，检查是否符合要求。</w:t>
            </w:r>
          </w:p>
          <w:p>
            <w:pPr>
              <w:rPr>
                <w:rFonts w:cs="宋体"/>
                <w:szCs w:val="21"/>
              </w:rPr>
            </w:pPr>
            <w:r>
              <w:rPr>
                <w:rFonts w:hint="eastAsia" w:cs="宋体"/>
                <w:szCs w:val="21"/>
              </w:rPr>
              <w:t>②</w:t>
            </w:r>
            <w:r>
              <w:rPr>
                <w:rFonts w:cs="宋体"/>
                <w:szCs w:val="21"/>
              </w:rPr>
              <w:t>选用电梯/人行道多功能检测仪进行测量。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shd w:val="clear" w:color="auto" w:fill="auto"/>
            <w:vAlign w:val="center"/>
          </w:tcPr>
          <w:p>
            <w:pPr>
              <w:spacing w:line="280" w:lineRule="exact"/>
              <w:jc w:val="center"/>
              <w:rPr>
                <w:rFonts w:cs="宋体"/>
                <w:szCs w:val="21"/>
              </w:rPr>
            </w:pPr>
          </w:p>
        </w:tc>
        <w:tc>
          <w:tcPr>
            <w:tcW w:w="854" w:type="dxa"/>
            <w:vMerge w:val="continue"/>
            <w:shd w:val="clear" w:color="auto" w:fill="auto"/>
            <w:vAlign w:val="center"/>
          </w:tcPr>
          <w:p>
            <w:pPr>
              <w:spacing w:line="240" w:lineRule="exact"/>
              <w:jc w:val="center"/>
              <w:rPr>
                <w:rFonts w:cs="宋体"/>
                <w:szCs w:val="21"/>
              </w:rPr>
            </w:pPr>
          </w:p>
        </w:tc>
        <w:tc>
          <w:tcPr>
            <w:tcW w:w="5383" w:type="dxa"/>
            <w:shd w:val="clear" w:color="auto" w:fill="auto"/>
            <w:vAlign w:val="center"/>
          </w:tcPr>
          <w:p>
            <w:pPr>
              <w:rPr>
                <w:rFonts w:cs="宋体"/>
                <w:szCs w:val="21"/>
              </w:rPr>
            </w:pPr>
            <w:r>
              <w:rPr>
                <w:rFonts w:hint="eastAsia"/>
                <w:bCs/>
                <w:snapToGrid w:val="0"/>
                <w:kern w:val="0"/>
                <w:szCs w:val="21"/>
              </w:rPr>
              <w:t>⑵</w:t>
            </w:r>
            <w:r>
              <w:rPr>
                <w:bCs/>
                <w:snapToGrid w:val="0"/>
                <w:kern w:val="0"/>
                <w:szCs w:val="21"/>
              </w:rPr>
              <w:t>扶手带的运行速度相对于梯级、踏板或胶带的</w:t>
            </w:r>
            <w:r>
              <w:rPr>
                <w:rFonts w:hint="eastAsia"/>
                <w:bCs/>
                <w:snapToGrid w:val="0"/>
                <w:kern w:val="0"/>
                <w:szCs w:val="21"/>
              </w:rPr>
              <w:t>实际</w:t>
            </w:r>
            <w:r>
              <w:rPr>
                <w:bCs/>
                <w:snapToGrid w:val="0"/>
                <w:kern w:val="0"/>
                <w:szCs w:val="21"/>
              </w:rPr>
              <w:t>速度</w:t>
            </w:r>
            <w:r>
              <w:rPr>
                <w:rFonts w:hint="eastAsia"/>
                <w:bCs/>
                <w:snapToGrid w:val="0"/>
                <w:kern w:val="0"/>
                <w:szCs w:val="21"/>
              </w:rPr>
              <w:t>的</w:t>
            </w:r>
            <w:r>
              <w:rPr>
                <w:bCs/>
                <w:snapToGrid w:val="0"/>
                <w:kern w:val="0"/>
                <w:szCs w:val="21"/>
              </w:rPr>
              <w:t>允</w:t>
            </w:r>
            <w:r>
              <w:rPr>
                <w:rFonts w:hint="eastAsia"/>
                <w:bCs/>
                <w:snapToGrid w:val="0"/>
                <w:kern w:val="0"/>
                <w:szCs w:val="21"/>
              </w:rPr>
              <w:t>许偏</w:t>
            </w:r>
            <w:r>
              <w:rPr>
                <w:bCs/>
                <w:snapToGrid w:val="0"/>
                <w:kern w:val="0"/>
                <w:szCs w:val="21"/>
              </w:rPr>
              <w:t>差为0</w:t>
            </w:r>
            <w:r>
              <w:rPr>
                <w:rFonts w:hint="eastAsia"/>
                <w:bCs/>
                <w:snapToGrid w:val="0"/>
                <w:kern w:val="0"/>
                <w:szCs w:val="21"/>
              </w:rPr>
              <w:t>～</w:t>
            </w:r>
            <w:r>
              <w:rPr>
                <w:bCs/>
                <w:snapToGrid w:val="0"/>
                <w:kern w:val="0"/>
                <w:szCs w:val="21"/>
              </w:rPr>
              <w:t>+2%</w:t>
            </w:r>
          </w:p>
        </w:tc>
        <w:tc>
          <w:tcPr>
            <w:tcW w:w="6946" w:type="dxa"/>
            <w:vMerge w:val="continue"/>
            <w:shd w:val="clear" w:color="auto" w:fill="auto"/>
            <w:vAlign w:val="center"/>
          </w:tcPr>
          <w:p>
            <w:pPr>
              <w:autoSpaceDE w:val="0"/>
              <w:autoSpaceDN w:val="0"/>
              <w:adjustRightInd w:val="0"/>
              <w:spacing w:before="156" w:beforeLines="50"/>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auto"/>
            <w:vAlign w:val="center"/>
          </w:tcPr>
          <w:p>
            <w:pPr>
              <w:jc w:val="center"/>
            </w:pPr>
            <w:r>
              <w:rPr>
                <w:rFonts w:hint="eastAsia"/>
              </w:rPr>
              <w:t>14</w:t>
            </w:r>
          </w:p>
        </w:tc>
        <w:tc>
          <w:tcPr>
            <w:tcW w:w="854" w:type="dxa"/>
            <w:shd w:val="clear" w:color="auto" w:fill="auto"/>
          </w:tcPr>
          <w:p>
            <w:pPr>
              <w:spacing w:line="240" w:lineRule="exact"/>
            </w:pPr>
            <w:r>
              <w:t>维护保养记录与标志</w:t>
            </w:r>
          </w:p>
          <w:p>
            <w:pPr>
              <w:spacing w:line="240" w:lineRule="exact"/>
              <w:jc w:val="center"/>
            </w:pPr>
            <w:r>
              <w:rPr>
                <w:rFonts w:cs="宋体"/>
                <w:szCs w:val="21"/>
              </w:rPr>
              <w:t>（C）</w:t>
            </w:r>
          </w:p>
        </w:tc>
        <w:tc>
          <w:tcPr>
            <w:tcW w:w="5383" w:type="dxa"/>
            <w:shd w:val="clear" w:color="auto" w:fill="auto"/>
            <w:vAlign w:val="center"/>
          </w:tcPr>
          <w:p>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t>电梯每十五日不得少于一次维护保养，按规定填写维护保养记录、出具维护保养标志，并经使用单位确认。</w:t>
            </w:r>
          </w:p>
          <w:p>
            <w:r>
              <w:rPr>
                <w:color w:val="333333"/>
                <w:szCs w:val="21"/>
              </w:rPr>
              <w:fldChar w:fldCharType="begin"/>
            </w:r>
            <w:r>
              <w:rPr>
                <w:color w:val="333333"/>
                <w:szCs w:val="21"/>
              </w:rPr>
              <w:instrText xml:space="preserve"> </w:instrText>
            </w:r>
            <w:r>
              <w:rPr>
                <w:rFonts w:hint="eastAsia"/>
                <w:color w:val="333333"/>
                <w:szCs w:val="21"/>
              </w:rPr>
              <w:instrText xml:space="preserve">= 2 \* GB3</w:instrText>
            </w:r>
            <w:r>
              <w:rPr>
                <w:color w:val="333333"/>
                <w:szCs w:val="21"/>
              </w:rPr>
              <w:instrText xml:space="preserve"> </w:instrText>
            </w:r>
            <w:r>
              <w:rPr>
                <w:color w:val="333333"/>
                <w:szCs w:val="21"/>
              </w:rPr>
              <w:fldChar w:fldCharType="separate"/>
            </w:r>
            <w:r>
              <w:rPr>
                <w:rFonts w:hint="eastAsia"/>
                <w:color w:val="333333"/>
                <w:szCs w:val="21"/>
              </w:rPr>
              <w:t>②</w:t>
            </w:r>
            <w:r>
              <w:rPr>
                <w:color w:val="333333"/>
                <w:szCs w:val="21"/>
              </w:rPr>
              <w:fldChar w:fldCharType="end"/>
            </w:r>
            <w:r>
              <w:rPr>
                <w:rFonts w:hint="eastAsia"/>
                <w:color w:val="333333"/>
                <w:szCs w:val="21"/>
              </w:rPr>
              <w:t>电梯维护保养单位在维护保养结束前，对维护保养质量进行复核。</w:t>
            </w:r>
          </w:p>
        </w:tc>
        <w:tc>
          <w:tcPr>
            <w:tcW w:w="6946" w:type="dxa"/>
            <w:shd w:val="clear" w:color="auto" w:fill="auto"/>
            <w:vAlign w:val="center"/>
          </w:tcPr>
          <w:p>
            <w:r>
              <w:t>检查资料是否按规定交接给使用单位，资料是否完整有效。</w:t>
            </w:r>
            <w:r>
              <w:rPr>
                <w:rFonts w:hint="eastAsia"/>
              </w:rPr>
              <w:t>检查维护保养记录是否有复核人员的签字。</w:t>
            </w:r>
          </w:p>
          <w:p>
            <w:r>
              <w:rPr>
                <w:rFonts w:hint="eastAsia"/>
              </w:rPr>
              <w:t>【补充说明】</w:t>
            </w:r>
            <w:r>
              <w:rPr>
                <w:rFonts w:cs="宋体"/>
                <w:szCs w:val="21"/>
              </w:rPr>
              <w:t>《</w:t>
            </w:r>
            <w:r>
              <w:rPr>
                <w:rFonts w:hint="eastAsia" w:cs="宋体"/>
                <w:szCs w:val="21"/>
              </w:rPr>
              <w:t>广东省电梯使用安全条例</w:t>
            </w:r>
            <w:r>
              <w:rPr>
                <w:rFonts w:cs="宋体"/>
                <w:szCs w:val="21"/>
              </w:rPr>
              <w:t>》</w:t>
            </w:r>
            <w:r>
              <w:rPr>
                <w:rFonts w:hint="eastAsia" w:cs="宋体"/>
                <w:szCs w:val="21"/>
              </w:rPr>
              <w:t>第十五条第</w:t>
            </w:r>
            <w:r>
              <w:rPr>
                <w:rFonts w:hint="eastAsia"/>
              </w:rPr>
              <w:t>（二）</w:t>
            </w:r>
            <w:r>
              <w:rPr>
                <w:rFonts w:hint="eastAsia" w:cs="宋体"/>
                <w:szCs w:val="21"/>
              </w:rPr>
              <w:t>项规定了，</w:t>
            </w:r>
            <w:r>
              <w:rPr>
                <w:rFonts w:hint="eastAsia"/>
              </w:rPr>
              <w:t>实施维护保养时现场作业人员不得少于二人，并做好自身安全防护。</w:t>
            </w:r>
          </w:p>
          <w:p>
            <w:r>
              <w:rPr>
                <w:rFonts w:hint="eastAsia"/>
              </w:rPr>
              <w:t>对于本项所述的复核人员，一般为实施现场维保的另一名维保人员。</w:t>
            </w:r>
          </w:p>
        </w:tc>
      </w:tr>
    </w:tbl>
    <w:p>
      <w:pPr>
        <w:rPr>
          <w:rFonts w:cs="宋体"/>
          <w:szCs w:val="21"/>
        </w:rPr>
      </w:pPr>
      <w:r>
        <w:rPr>
          <w:rFonts w:hint="eastAsia" w:cs="宋体"/>
          <w:szCs w:val="21"/>
        </w:rPr>
        <w:t>备注：</w:t>
      </w:r>
      <w:r>
        <w:rPr>
          <w:rFonts w:cs="宋体"/>
          <w:szCs w:val="21"/>
        </w:rPr>
        <w:t>1.项目栏中数字序号与《电梯监督检验和定期检验规则——</w:t>
      </w:r>
      <w:r>
        <w:rPr>
          <w:rFonts w:hint="eastAsia" w:cs="宋体"/>
          <w:szCs w:val="21"/>
        </w:rPr>
        <w:t>自动扶梯与</w:t>
      </w:r>
      <w:r>
        <w:rPr>
          <w:rFonts w:cs="宋体"/>
          <w:szCs w:val="21"/>
        </w:rPr>
        <w:t>自动人行道》（TSG T7005－2012</w:t>
      </w:r>
      <w:r>
        <w:rPr>
          <w:rFonts w:hint="eastAsia" w:cs="宋体"/>
          <w:szCs w:val="21"/>
        </w:rPr>
        <w:t>，含第1号、第2号和第3号修改单）</w:t>
      </w:r>
      <w:r>
        <w:rPr>
          <w:rFonts w:cs="宋体"/>
          <w:szCs w:val="21"/>
        </w:rPr>
        <w:t>的附件A的条文序号一致</w:t>
      </w:r>
      <w:r>
        <w:rPr>
          <w:rFonts w:hint="eastAsia" w:cs="宋体"/>
          <w:szCs w:val="21"/>
        </w:rPr>
        <w:t>。</w:t>
      </w:r>
    </w:p>
    <w:p>
      <w:pPr>
        <w:ind w:firstLine="630" w:firstLineChars="300"/>
        <w:rPr>
          <w:rFonts w:cs="宋体"/>
          <w:szCs w:val="21"/>
        </w:rPr>
      </w:pPr>
      <w:r>
        <w:rPr>
          <w:rFonts w:cs="宋体"/>
          <w:szCs w:val="21"/>
        </w:rPr>
        <w:t>2</w:t>
      </w:r>
      <w:r>
        <w:rPr>
          <w:rFonts w:hint="eastAsia" w:cs="宋体"/>
          <w:szCs w:val="21"/>
        </w:rPr>
        <w:t>.标有★的项目，对于允许按照</w:t>
      </w:r>
      <w:r>
        <w:rPr>
          <w:rFonts w:cs="宋体"/>
          <w:szCs w:val="21"/>
        </w:rPr>
        <w:t>GB 16899—1997及更早期标准生产的自动扶梯与自动人行道，相应项目可以不检验。</w:t>
      </w:r>
    </w:p>
    <w:p>
      <w:pPr>
        <w:spacing w:line="264" w:lineRule="auto"/>
        <w:ind w:firstLine="630" w:firstLineChars="300"/>
        <w:jc w:val="left"/>
        <w:rPr>
          <w:rFonts w:cs="宋体"/>
          <w:szCs w:val="21"/>
        </w:rPr>
      </w:pPr>
      <w:r>
        <w:rPr>
          <w:rFonts w:cs="宋体"/>
          <w:szCs w:val="21"/>
        </w:rPr>
        <w:t>3.第14项</w:t>
      </w:r>
      <w:r>
        <w:rPr>
          <w:rFonts w:hint="eastAsia" w:cs="宋体"/>
          <w:szCs w:val="21"/>
        </w:rPr>
        <w:t>的</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cs="宋体"/>
          <w:szCs w:val="21"/>
        </w:rPr>
        <w:t>项目内容与《深圳经济特区特种设备安全条例》第二十五条第（三）</w:t>
      </w:r>
      <w:r>
        <w:rPr>
          <w:rFonts w:hint="eastAsia" w:cs="宋体"/>
          <w:szCs w:val="21"/>
        </w:rPr>
        <w:t>项</w:t>
      </w:r>
      <w:r>
        <w:rPr>
          <w:rFonts w:cs="宋体"/>
          <w:szCs w:val="21"/>
        </w:rPr>
        <w:t>相对应</w:t>
      </w:r>
      <w:r>
        <w:rPr>
          <w:rFonts w:hint="eastAsia" w:cs="宋体"/>
          <w:szCs w:val="21"/>
        </w:rPr>
        <w:t>；</w:t>
      </w:r>
      <w:r>
        <w:rPr>
          <w:color w:val="333333"/>
          <w:szCs w:val="21"/>
        </w:rPr>
        <w:fldChar w:fldCharType="begin"/>
      </w:r>
      <w:r>
        <w:rPr>
          <w:color w:val="333333"/>
          <w:szCs w:val="21"/>
        </w:rPr>
        <w:instrText xml:space="preserve"> </w:instrText>
      </w:r>
      <w:r>
        <w:rPr>
          <w:rFonts w:hint="eastAsia"/>
          <w:color w:val="333333"/>
          <w:szCs w:val="21"/>
        </w:rPr>
        <w:instrText xml:space="preserve">= 2 \* GB3</w:instrText>
      </w:r>
      <w:r>
        <w:rPr>
          <w:color w:val="333333"/>
          <w:szCs w:val="21"/>
        </w:rPr>
        <w:instrText xml:space="preserve"> </w:instrText>
      </w:r>
      <w:r>
        <w:rPr>
          <w:color w:val="333333"/>
          <w:szCs w:val="21"/>
        </w:rPr>
        <w:fldChar w:fldCharType="separate"/>
      </w:r>
      <w:r>
        <w:rPr>
          <w:rFonts w:hint="eastAsia"/>
          <w:color w:val="333333"/>
          <w:szCs w:val="21"/>
        </w:rPr>
        <w:t>②</w:t>
      </w:r>
      <w:r>
        <w:rPr>
          <w:color w:val="333333"/>
          <w:szCs w:val="21"/>
        </w:rPr>
        <w:fldChar w:fldCharType="end"/>
      </w:r>
      <w:r>
        <w:rPr>
          <w:rFonts w:cs="宋体"/>
          <w:szCs w:val="21"/>
        </w:rPr>
        <w:t>项目内容与《</w:t>
      </w:r>
      <w:r>
        <w:rPr>
          <w:rFonts w:hint="eastAsia" w:cs="宋体"/>
          <w:szCs w:val="21"/>
        </w:rPr>
        <w:t>广东省电梯使用安全条例</w:t>
      </w:r>
      <w:r>
        <w:rPr>
          <w:rFonts w:cs="宋体"/>
          <w:szCs w:val="21"/>
        </w:rPr>
        <w:t>》</w:t>
      </w:r>
      <w:r>
        <w:rPr>
          <w:rFonts w:hint="eastAsia" w:cs="宋体"/>
          <w:szCs w:val="21"/>
        </w:rPr>
        <w:t>第十五条第（五）项相对应</w:t>
      </w:r>
      <w:r>
        <w:rPr>
          <w:rFonts w:cs="宋体"/>
          <w:szCs w:val="21"/>
        </w:rPr>
        <w:t>。</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74BAF"/>
    <w:multiLevelType w:val="multilevel"/>
    <w:tmpl w:val="52374BA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23D6339"/>
    <w:multiLevelType w:val="multilevel"/>
    <w:tmpl w:val="723D6339"/>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54886"/>
    <w:rsid w:val="0004453C"/>
    <w:rsid w:val="000A2429"/>
    <w:rsid w:val="000C7D44"/>
    <w:rsid w:val="000E0B06"/>
    <w:rsid w:val="00120B54"/>
    <w:rsid w:val="00132DD9"/>
    <w:rsid w:val="001A6151"/>
    <w:rsid w:val="001C6F70"/>
    <w:rsid w:val="00322FC9"/>
    <w:rsid w:val="00433DE5"/>
    <w:rsid w:val="00436D81"/>
    <w:rsid w:val="00454FF0"/>
    <w:rsid w:val="00455673"/>
    <w:rsid w:val="004948FC"/>
    <w:rsid w:val="00503993"/>
    <w:rsid w:val="00507CA7"/>
    <w:rsid w:val="00533024"/>
    <w:rsid w:val="00592FDF"/>
    <w:rsid w:val="005A3861"/>
    <w:rsid w:val="005A5D15"/>
    <w:rsid w:val="005D63E7"/>
    <w:rsid w:val="006600E3"/>
    <w:rsid w:val="00685E9F"/>
    <w:rsid w:val="006A7676"/>
    <w:rsid w:val="006C55DD"/>
    <w:rsid w:val="006F42F3"/>
    <w:rsid w:val="00723BC2"/>
    <w:rsid w:val="00790E6B"/>
    <w:rsid w:val="007A1648"/>
    <w:rsid w:val="007C3919"/>
    <w:rsid w:val="008024B9"/>
    <w:rsid w:val="00812E77"/>
    <w:rsid w:val="008252F3"/>
    <w:rsid w:val="008B2A74"/>
    <w:rsid w:val="008C38F9"/>
    <w:rsid w:val="00936CC2"/>
    <w:rsid w:val="00954886"/>
    <w:rsid w:val="0099269D"/>
    <w:rsid w:val="009A1B87"/>
    <w:rsid w:val="009D5D77"/>
    <w:rsid w:val="009F2E47"/>
    <w:rsid w:val="00A044BC"/>
    <w:rsid w:val="00AB11FA"/>
    <w:rsid w:val="00AB339B"/>
    <w:rsid w:val="00AD4A29"/>
    <w:rsid w:val="00CA16D2"/>
    <w:rsid w:val="00D51D16"/>
    <w:rsid w:val="00D81409"/>
    <w:rsid w:val="00E11B74"/>
    <w:rsid w:val="00E3006A"/>
    <w:rsid w:val="00EE5AC9"/>
    <w:rsid w:val="00F205ED"/>
    <w:rsid w:val="00F42723"/>
    <w:rsid w:val="00F667CC"/>
    <w:rsid w:val="00F72273"/>
    <w:rsid w:val="00F75829"/>
    <w:rsid w:val="00F90B88"/>
    <w:rsid w:val="077C4041"/>
    <w:rsid w:val="1CF47D55"/>
    <w:rsid w:val="4C87549D"/>
    <w:rsid w:val="58DC1BAB"/>
    <w:rsid w:val="5BC44825"/>
    <w:rsid w:val="5D760254"/>
    <w:rsid w:val="7C6B0EEA"/>
    <w:rsid w:val="DCF9B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方正小标宋简体" w:cstheme="maj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4"/>
      <w:lang w:val="en-US" w:eastAsia="zh-CN" w:bidi="ar-SA"/>
    </w:rPr>
  </w:style>
  <w:style w:type="paragraph" w:styleId="2">
    <w:name w:val="heading 1"/>
    <w:basedOn w:val="3"/>
    <w:next w:val="1"/>
    <w:link w:val="12"/>
    <w:qFormat/>
    <w:uiPriority w:val="9"/>
    <w:pPr>
      <w:spacing w:before="340" w:after="330"/>
      <w:ind w:firstLine="3520" w:firstLineChars="800"/>
    </w:pPr>
    <w:rPr>
      <w:rFonts w:eastAsia="方正小标宋简体"/>
      <w:b w:val="0"/>
      <w:bCs w:val="0"/>
      <w:kern w:val="0"/>
      <w:sz w:val="44"/>
      <w:szCs w:val="44"/>
    </w:rPr>
  </w:style>
  <w:style w:type="paragraph" w:styleId="4">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link w:val="14"/>
    <w:qFormat/>
    <w:uiPriority w:val="10"/>
    <w:pPr>
      <w:spacing w:before="240" w:after="60"/>
      <w:jc w:val="center"/>
      <w:outlineLvl w:val="0"/>
    </w:pPr>
    <w:rPr>
      <w:rFonts w:asciiTheme="majorHAnsi" w:hAnsiTheme="majorHAnsi" w:cstheme="majorBidi"/>
      <w:b/>
      <w:bCs/>
      <w:szCs w:val="32"/>
    </w:rPr>
  </w:style>
  <w:style w:type="paragraph" w:styleId="5">
    <w:name w:val="Balloon Text"/>
    <w:basedOn w:val="1"/>
    <w:link w:val="21"/>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Subtitle"/>
    <w:basedOn w:val="2"/>
    <w:next w:val="4"/>
    <w:link w:val="15"/>
    <w:qFormat/>
    <w:uiPriority w:val="11"/>
    <w:pPr>
      <w:spacing w:before="0" w:after="0" w:line="560" w:lineRule="exact"/>
      <w:ind w:firstLine="200" w:firstLineChars="200"/>
      <w:jc w:val="left"/>
      <w:outlineLvl w:val="1"/>
    </w:pPr>
    <w:rPr>
      <w:rFonts w:eastAsia="黑体"/>
      <w:bCs/>
      <w:color w:val="000000" w:themeColor="text1"/>
      <w:szCs w:val="32"/>
    </w:rPr>
  </w:style>
  <w:style w:type="paragraph" w:styleId="9">
    <w:name w:val="Body Text Indent 3"/>
    <w:basedOn w:val="1"/>
    <w:link w:val="19"/>
    <w:unhideWhenUsed/>
    <w:qFormat/>
    <w:uiPriority w:val="0"/>
    <w:pPr>
      <w:spacing w:line="360" w:lineRule="atLeast"/>
      <w:ind w:firstLine="480" w:firstLineChars="200"/>
      <w:jc w:val="left"/>
    </w:pPr>
    <w:rPr>
      <w:rFonts w:ascii="仿宋_GB2312" w:hAnsi="Times New Roman" w:eastAsia="仿宋_GB2312"/>
      <w:sz w:val="24"/>
      <w:szCs w:val="20"/>
    </w:rPr>
  </w:style>
  <w:style w:type="character" w:customStyle="1" w:styleId="12">
    <w:name w:val="标题 1 字符"/>
    <w:basedOn w:val="11"/>
    <w:link w:val="2"/>
    <w:qFormat/>
    <w:uiPriority w:val="9"/>
    <w:rPr>
      <w:color w:val="auto"/>
      <w:kern w:val="0"/>
    </w:rPr>
  </w:style>
  <w:style w:type="character" w:customStyle="1" w:styleId="13">
    <w:name w:val="标题 2 字符"/>
    <w:basedOn w:val="11"/>
    <w:link w:val="4"/>
    <w:semiHidden/>
    <w:qFormat/>
    <w:uiPriority w:val="9"/>
    <w:rPr>
      <w:rFonts w:asciiTheme="majorHAnsi" w:hAnsiTheme="majorHAnsi" w:eastAsiaTheme="majorEastAsia" w:cstheme="majorBidi"/>
      <w:b/>
      <w:bCs/>
      <w:sz w:val="32"/>
      <w:szCs w:val="32"/>
    </w:rPr>
  </w:style>
  <w:style w:type="character" w:customStyle="1" w:styleId="14">
    <w:name w:val="标题 字符"/>
    <w:basedOn w:val="11"/>
    <w:link w:val="3"/>
    <w:qFormat/>
    <w:uiPriority w:val="10"/>
    <w:rPr>
      <w:rFonts w:eastAsia="宋体" w:asciiTheme="majorHAnsi" w:hAnsiTheme="majorHAnsi" w:cstheme="majorBidi"/>
      <w:b/>
      <w:bCs/>
      <w:szCs w:val="32"/>
    </w:rPr>
  </w:style>
  <w:style w:type="character" w:customStyle="1" w:styleId="15">
    <w:name w:val="副标题 字符"/>
    <w:basedOn w:val="11"/>
    <w:link w:val="8"/>
    <w:qFormat/>
    <w:uiPriority w:val="11"/>
    <w:rPr>
      <w:rFonts w:eastAsia="黑体" w:asciiTheme="majorHAnsi" w:hAnsiTheme="majorHAnsi" w:cstheme="majorBidi"/>
      <w:bCs/>
      <w:color w:val="000000" w:themeColor="text1"/>
      <w:kern w:val="0"/>
      <w:szCs w:val="32"/>
    </w:rPr>
  </w:style>
  <w:style w:type="paragraph" w:customStyle="1" w:styleId="16">
    <w:name w:val="二级标题"/>
    <w:basedOn w:val="4"/>
    <w:next w:val="1"/>
    <w:qFormat/>
    <w:uiPriority w:val="0"/>
    <w:pPr>
      <w:spacing w:before="0" w:after="0" w:line="560" w:lineRule="exact"/>
    </w:pPr>
    <w:rPr>
      <w:rFonts w:eastAsia="楷体_GB2312"/>
      <w:b w:val="0"/>
    </w:rPr>
  </w:style>
  <w:style w:type="character" w:customStyle="1" w:styleId="17">
    <w:name w:val="页眉 字符"/>
    <w:basedOn w:val="11"/>
    <w:link w:val="7"/>
    <w:qFormat/>
    <w:uiPriority w:val="99"/>
    <w:rPr>
      <w:rFonts w:ascii="仿宋" w:hAnsi="仿宋" w:eastAsia="仿宋_GB2312" w:cstheme="minorBidi"/>
      <w:color w:val="auto"/>
      <w:kern w:val="2"/>
      <w:sz w:val="18"/>
      <w:szCs w:val="18"/>
    </w:rPr>
  </w:style>
  <w:style w:type="character" w:customStyle="1" w:styleId="18">
    <w:name w:val="页脚 字符"/>
    <w:basedOn w:val="11"/>
    <w:link w:val="6"/>
    <w:qFormat/>
    <w:uiPriority w:val="99"/>
    <w:rPr>
      <w:rFonts w:ascii="仿宋" w:hAnsi="仿宋" w:eastAsia="仿宋_GB2312" w:cstheme="minorBidi"/>
      <w:color w:val="auto"/>
      <w:kern w:val="2"/>
      <w:sz w:val="18"/>
      <w:szCs w:val="18"/>
    </w:rPr>
  </w:style>
  <w:style w:type="character" w:customStyle="1" w:styleId="19">
    <w:name w:val="正文文本缩进 3 字符"/>
    <w:basedOn w:val="11"/>
    <w:link w:val="9"/>
    <w:qFormat/>
    <w:uiPriority w:val="0"/>
    <w:rPr>
      <w:rFonts w:ascii="仿宋_GB2312" w:hAnsi="Times New Roman" w:eastAsia="仿宋_GB2312" w:cs="Times New Roman"/>
      <w:color w:val="auto"/>
      <w:kern w:val="2"/>
      <w:sz w:val="24"/>
      <w:szCs w:val="20"/>
    </w:rPr>
  </w:style>
  <w:style w:type="paragraph" w:customStyle="1" w:styleId="2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1">
    <w:name w:val="批注框文本 字符"/>
    <w:basedOn w:val="11"/>
    <w:link w:val="5"/>
    <w:semiHidden/>
    <w:qFormat/>
    <w:uiPriority w:val="99"/>
    <w:rPr>
      <w:rFonts w:ascii="宋体" w:hAnsi="宋体" w:eastAsia="宋体" w:cs="Times New Roman"/>
      <w:color w:val="auto"/>
      <w:kern w:val="2"/>
      <w:sz w:val="18"/>
      <w:szCs w:val="18"/>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1203</Words>
  <Characters>6859</Characters>
  <Lines>57</Lines>
  <Paragraphs>16</Paragraphs>
  <TotalTime>0</TotalTime>
  <ScaleCrop>false</ScaleCrop>
  <LinksUpToDate>false</LinksUpToDate>
  <CharactersWithSpaces>8046</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2021-08-02T08:51:00Z</dcterms:created>
  <dc:creator>徐振</dc:creator>
  <cp:lastModifiedBy>lixiang</cp:lastModifiedBy>
  <dcterms:modified xsi:type="dcterms:W3CDTF">2022-04-19T19:35:01Z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