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.1</w:t>
      </w:r>
      <w:bookmarkStart w:id="0" w:name="_GoBack"/>
      <w:bookmarkEnd w:id="0"/>
    </w:p>
    <w:p>
      <w:pPr>
        <w:pStyle w:val="2"/>
        <w:spacing w:before="0" w:after="0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深圳市202</w:t>
      </w:r>
      <w:r>
        <w:rPr>
          <w:rFonts w:hint="eastAsia" w:ascii="宋体" w:hAnsi="宋体" w:eastAsia="宋体" w:cs="宋体"/>
          <w:b/>
          <w:bCs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highlight w:val="none"/>
        </w:rPr>
        <w:t>年使用安全管理状况监督抽查项目</w:t>
      </w:r>
    </w:p>
    <w:p>
      <w:pPr>
        <w:pStyle w:val="22"/>
        <w:numPr>
          <w:ilvl w:val="0"/>
          <w:numId w:val="1"/>
        </w:numPr>
        <w:ind w:firstLineChars="0"/>
        <w:rPr>
          <w:rFonts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曳引式电梯抽查项目</w:t>
      </w:r>
    </w:p>
    <w:tbl>
      <w:tblPr>
        <w:tblStyle w:val="10"/>
        <w:tblW w:w="13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50"/>
        <w:gridCol w:w="6636"/>
        <w:gridCol w:w="5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序号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项目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检验内容与要求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安全技术档案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（B）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电梯使用单位应当建立电梯安全技术档案并长期保存。</w:t>
            </w:r>
          </w:p>
          <w:p>
            <w:pPr>
              <w:spacing w:line="300" w:lineRule="exac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安全技术档案，应当包括《特种设备安全法》第三十五条所规定的内容，即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</w:t>
            </w:r>
            <w:r>
              <w:rPr>
                <w:rFonts w:hint="eastAsia"/>
                <w:bCs/>
                <w:sz w:val="16"/>
                <w:szCs w:val="21"/>
                <w:highlight w:val="none"/>
                <w:u w:val="single"/>
              </w:rPr>
              <w:t>不含统计项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）</w:t>
            </w:r>
            <w:r>
              <w:rPr>
                <w:rFonts w:hint="eastAsia"/>
                <w:bCs/>
                <w:szCs w:val="21"/>
                <w:highlight w:val="none"/>
              </w:rPr>
              <w:t>：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产品质量合格证明、安装及使用维护保养说明、监督检验证明等相关技术资料和文件；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特种设备的定期检验和定期自行检查记录；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3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③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特种设备的日常使用状况记录；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4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④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特种设备及其附属仪器仪表的维护保养记录；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5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⑤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特种设备的运行故障和事故记录。</w:t>
            </w:r>
          </w:p>
          <w:p>
            <w:pPr>
              <w:spacing w:line="300" w:lineRule="exact"/>
              <w:rPr>
                <w:bCs/>
                <w:sz w:val="16"/>
                <w:szCs w:val="16"/>
                <w:highlight w:val="none"/>
                <w:u w:val="single"/>
              </w:rPr>
            </w:pP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t>注：在TSG T7001-2009实施前已经完成安装、改造或者重大修理的，本项</w:t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fldChar w:fldCharType="begin"/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instrText xml:space="preserve"> = 1 \* GB3 \* MERGEFORMAT </w:instrText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fldChar w:fldCharType="separate"/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t>①</w:t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fldChar w:fldCharType="end"/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t>所述文件资料的检查情况，记载在“◇出厂文件”项中</w:t>
            </w:r>
          </w:p>
          <w:p>
            <w:pPr>
              <w:spacing w:line="300" w:lineRule="exac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对于2015年10月1日后办理使用登记的电梯，其安全技术档案还应当包括《广东省电梯使用安全条例》第十条所规定的内容，即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</w:t>
            </w:r>
            <w:r>
              <w:rPr>
                <w:rFonts w:hint="eastAsia"/>
                <w:bCs/>
                <w:sz w:val="16"/>
                <w:szCs w:val="21"/>
                <w:highlight w:val="none"/>
                <w:u w:val="single"/>
              </w:rPr>
              <w:t>不含统计项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）</w:t>
            </w:r>
            <w:r>
              <w:rPr>
                <w:rFonts w:hint="eastAsia"/>
                <w:bCs/>
                <w:szCs w:val="21"/>
                <w:highlight w:val="none"/>
              </w:rPr>
              <w:t>：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6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⑥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产品质量合格证明，安装及维护保养说明；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7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⑦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电梯安装、改造、修理施工过程记录等施工文件；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8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⑧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维护保养和定期自行检查记录，</w:t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安全保护装置定期校验、检修记录，</w:t>
            </w:r>
            <w:r>
              <w:rPr>
                <w:rFonts w:hint="eastAsia"/>
                <w:bCs/>
                <w:szCs w:val="21"/>
                <w:highlight w:val="none"/>
              </w:rPr>
              <w:t>运行故障和事故记录；</w:t>
            </w:r>
          </w:p>
          <w:p>
            <w:pPr>
              <w:spacing w:line="280" w:lineRule="exact"/>
              <w:ind w:firstLine="210" w:firstLineChars="100"/>
              <w:rPr>
                <w:rFonts w:cs="宋体"/>
                <w:sz w:val="20"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9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⑨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监督检验和定期检验报告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【补充说明】关于维保记录内容信息、填写、签字的规范性等要求，纳入维保质量抽查项目，在此不作要求。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2" w:lineRule="exac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  <w:highlight w:val="none"/>
              </w:rPr>
            </w:pPr>
            <w:r>
              <w:rPr>
                <w:rFonts w:ascii="黑体" w:hAnsi="黑体" w:eastAsia="黑体"/>
                <w:szCs w:val="21"/>
                <w:highlight w:val="none"/>
              </w:rPr>
              <w:t>◇</w:t>
            </w:r>
          </w:p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出厂文件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 w:val="28"/>
                <w:szCs w:val="21"/>
                <w:highlight w:val="none"/>
              </w:rPr>
            </w:pPr>
            <w:r>
              <w:rPr>
                <w:rFonts w:hint="eastAsia"/>
                <w:bCs/>
                <w:szCs w:val="16"/>
                <w:highlight w:val="none"/>
              </w:rPr>
              <w:t>发现缺少</w:t>
            </w:r>
            <w:r>
              <w:rPr>
                <w:rFonts w:hint="eastAsia"/>
                <w:bCs/>
                <w:szCs w:val="16"/>
                <w:highlight w:val="none"/>
              </w:rPr>
              <w:t>第2-3项</w:t>
            </w:r>
            <w:r>
              <w:rPr>
                <w:rFonts w:hint="eastAsia"/>
                <w:bCs/>
                <w:szCs w:val="16"/>
                <w:highlight w:val="none"/>
              </w:rPr>
              <w:t>所列资料的，需通知企业尽量补齐，并叮嘱企业长期保存：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特种设备的设计文件；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产品质量合格证明、安装及使用维护保养说明、监督检验证明等相关技术资料和文件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（仅适用于在TSG T7001-2009实施前已经完成安装、改造或者重大修理的）</w:t>
            </w:r>
            <w:r>
              <w:rPr>
                <w:rFonts w:hint="eastAsia"/>
                <w:bCs/>
                <w:szCs w:val="21"/>
                <w:highlight w:val="none"/>
              </w:rPr>
              <w:t>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napToGrid w:val="0"/>
                <w:kern w:val="0"/>
                <w:szCs w:val="21"/>
                <w:highlight w:val="none"/>
              </w:rPr>
              <w:fldChar w:fldCharType="begin"/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instrText xml:space="preserve">= 3 \* GB3</w:instrText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instrText xml:space="preserve"> </w:instrText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③</w:t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型式试验报告，</w:t>
            </w:r>
            <w:r>
              <w:rPr>
                <w:rFonts w:hint="eastAsia"/>
                <w:bCs/>
                <w:szCs w:val="21"/>
                <w:highlight w:val="none"/>
              </w:rPr>
              <w:t>应急处置技术指导文件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（仅适用于2015年10月1日后办理使用登记的）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【补充说明】该项为统计项目，不作符合性判定。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2" w:lineRule="exac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  <w:highlight w:val="none"/>
              </w:rPr>
            </w:pPr>
            <w:r>
              <w:rPr>
                <w:rFonts w:ascii="黑体" w:hAnsi="黑体" w:eastAsia="黑体"/>
                <w:szCs w:val="21"/>
                <w:highlight w:val="none"/>
              </w:rPr>
              <w:t>◇</w:t>
            </w:r>
          </w:p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施工文件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施工文件（隐蔽工程资料、重大技术问题处理文件）</w:t>
            </w:r>
          </w:p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 w:val="16"/>
                <w:szCs w:val="21"/>
                <w:highlight w:val="none"/>
              </w:rPr>
              <w:t>（仅适用于2015年10月1日后办理使用登记的）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【补充说明】该项为统计项目，不作符合性判定。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安全管理制度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（C）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电梯使用单位应当建立岗位责任、隐患治理、应急救援等安全管理制度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安全管理制度至少应包括以下内容：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（1）岗位职责制度；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（2）隐患排查治理制度；</w:t>
            </w:r>
          </w:p>
          <w:p>
            <w:pPr>
              <w:spacing w:line="320" w:lineRule="exact"/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</w:t>
            </w:r>
            <w:r>
              <w:rPr>
                <w:spacing w:val="-10"/>
                <w:highlight w:val="none"/>
              </w:rPr>
              <w:t>3</w:t>
            </w:r>
            <w:r>
              <w:rPr>
                <w:rFonts w:hint="eastAsia"/>
                <w:spacing w:val="-10"/>
                <w:highlight w:val="none"/>
              </w:rPr>
              <w:t>）应急救援制度。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【补充说明】要求各项制度填写规范并盖有电梯使用单位公章（私人单位签字按手印）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安全管理负责人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C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电梯使用单位应指定或者配备电梯安全管理负责人；</w:t>
            </w:r>
          </w:p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按照TSG 08-2017要求设置安全管理机构的使用单位安全管理负责人，应当取得相应的特种设备安全管理资格证书</w:t>
            </w:r>
          </w:p>
        </w:tc>
        <w:tc>
          <w:tcPr>
            <w:tcW w:w="5555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（1）是否设置安全管理负责人，检查是否有人员任命书：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snapToGrid w:val="0"/>
                <w:kern w:val="0"/>
                <w:highlight w:val="none"/>
              </w:rPr>
              <w:t>符合</w:t>
            </w:r>
            <w:r>
              <w:rPr>
                <w:rFonts w:hint="eastAsia"/>
                <w:highlight w:val="none"/>
              </w:rPr>
              <w:t>设置安全管理机构要求（注1）的，查看安全管理负责人特种设备安全管理人员资格证书；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（2）是否设置安全管理员：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符合配备专职安全管理员要求（注2）的，查看专职安全管理员相应的特种设备安全管理人员资格证书，检查其证书是否有相应聘用信息；不需要配备专职安全管理员要求的，可以配备兼职安全管理员</w:t>
            </w:r>
            <w:r>
              <w:rPr>
                <w:highlight w:val="none"/>
              </w:rPr>
              <w:t>(</w:t>
            </w:r>
            <w:r>
              <w:rPr>
                <w:rFonts w:hint="eastAsia"/>
                <w:highlight w:val="none"/>
              </w:rPr>
              <w:t>注3</w:t>
            </w:r>
            <w:r>
              <w:rPr>
                <w:highlight w:val="none"/>
              </w:rPr>
              <w:t>)</w:t>
            </w:r>
            <w:r>
              <w:rPr>
                <w:rFonts w:hint="eastAsia"/>
                <w:highlight w:val="none"/>
              </w:rPr>
              <w:t>，也可以委托具有特种设备安全管理人员资格的人员负责使用管理。</w:t>
            </w:r>
          </w:p>
          <w:p>
            <w:pPr>
              <w:rPr>
                <w:b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sz w:val="18"/>
                <w:szCs w:val="18"/>
                <w:highlight w:val="none"/>
              </w:rPr>
              <w:t>注1：设置安全管理机构要求，本次监督抽查按照TSG 08-2017《特种设备使用管理规则》中2.3.2(5)的要求执行。</w:t>
            </w:r>
          </w:p>
          <w:p>
            <w:pPr>
              <w:rPr>
                <w:b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sz w:val="18"/>
                <w:szCs w:val="18"/>
                <w:highlight w:val="none"/>
              </w:rPr>
              <w:t>注2：配备专职安全管理员要求，按照TSG 08-2017《特种设备使用管理规则》中2.4.2.2.2的要求执行。</w:t>
            </w:r>
          </w:p>
          <w:p>
            <w:pPr>
              <w:spacing w:line="320" w:lineRule="exact"/>
              <w:rPr>
                <w:b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sz w:val="18"/>
                <w:szCs w:val="18"/>
                <w:highlight w:val="none"/>
              </w:rPr>
              <w:t>注3：兼职安全管理员不要求取得相应的特种设备安全管理人员资格证书。对于允许配置兼职安全管理员的，且已在本周期定期检验时提交了声明材料的，“安全管理员”项可直接视为符合要求。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0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安全</w:t>
            </w:r>
          </w:p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管理员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B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电梯使用单位应指定或者配备电梯安全管理员；</w:t>
            </w:r>
          </w:p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按照TSG 08-2017要求配备专职安全管理员的使用单位，其专职安全管理员应当取得相应的特种设备安全管理人员资格证书。除此之外，至少配备兼职安全管理员，或者委托具有特种设备安全管理人员资格的人员负责使用管理</w:t>
            </w:r>
          </w:p>
        </w:tc>
        <w:tc>
          <w:tcPr>
            <w:tcW w:w="5555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安全防护与疏导措施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（C）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22" w:lineRule="exact"/>
              <w:rPr>
                <w:rFonts w:ascii="Arial" w:hAnsi="Arial" w:cs="Arial"/>
                <w:kern w:val="0"/>
                <w:szCs w:val="21"/>
                <w:highlight w:val="none"/>
              </w:rPr>
            </w:pPr>
            <w:r>
              <w:rPr>
                <w:rFonts w:hint="eastAsia" w:ascii="Arial" w:hAnsi="Arial" w:cs="Arial"/>
                <w:kern w:val="0"/>
                <w:szCs w:val="21"/>
                <w:highlight w:val="none"/>
              </w:rPr>
              <w:t>电梯使用单位应该遵守下列关于安全防护与疏导措施的规定：</w:t>
            </w:r>
          </w:p>
          <w:p>
            <w:pPr>
              <w:spacing w:line="322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ascii="Arial" w:hAnsi="Arial" w:cs="Arial"/>
                <w:kern w:val="0"/>
                <w:szCs w:val="21"/>
                <w:highlight w:val="none"/>
              </w:rPr>
              <w:fldChar w:fldCharType="begin"/>
            </w:r>
            <w:r>
              <w:rPr>
                <w:rFonts w:ascii="Arial" w:hAnsi="Arial" w:cs="Arial"/>
                <w:kern w:val="0"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ascii="Arial" w:hAnsi="Arial" w:cs="Arial"/>
                <w:kern w:val="0"/>
                <w:szCs w:val="21"/>
                <w:highlight w:val="none"/>
              </w:rPr>
              <w:fldChar w:fldCharType="separate"/>
            </w:r>
            <w:r>
              <w:rPr>
                <w:highlight w:val="none"/>
              </w:rPr>
              <w:t>①</w:t>
            </w:r>
            <w:r>
              <w:rPr>
                <w:rFonts w:ascii="Arial" w:hAnsi="Arial" w:cs="Arial"/>
                <w:kern w:val="0"/>
                <w:szCs w:val="21"/>
                <w:highlight w:val="none"/>
              </w:rPr>
              <w:fldChar w:fldCharType="end"/>
            </w:r>
            <w:r>
              <w:rPr>
                <w:rFonts w:ascii="Arial" w:hAnsi="Arial" w:cs="Arial"/>
                <w:kern w:val="0"/>
                <w:szCs w:val="21"/>
                <w:highlight w:val="none"/>
              </w:rPr>
              <w:t>在人员密集使用电梯时，采取有效疏导措施；</w:t>
            </w:r>
          </w:p>
          <w:p>
            <w:pPr>
              <w:spacing w:line="322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fldChar w:fldCharType="begin"/>
            </w:r>
            <w:r>
              <w:rPr>
                <w:rFonts w:hint="eastAsia" w:cs="宋体"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 w:cs="宋体"/>
                <w:szCs w:val="21"/>
                <w:highlight w:val="none"/>
              </w:rPr>
              <w:fldChar w:fldCharType="separate"/>
            </w:r>
            <w:r>
              <w:rPr>
                <w:highlight w:val="none"/>
              </w:rPr>
              <w:t>②</w:t>
            </w:r>
            <w:r>
              <w:rPr>
                <w:rFonts w:hint="eastAsia" w:cs="宋体"/>
                <w:szCs w:val="21"/>
                <w:highlight w:val="none"/>
              </w:rPr>
              <w:fldChar w:fldCharType="end"/>
            </w:r>
            <w:r>
              <w:rPr>
                <w:rFonts w:hint="eastAsia" w:cs="宋体"/>
                <w:szCs w:val="21"/>
                <w:highlight w:val="none"/>
              </w:rPr>
              <w:t>对运载建筑材料、建筑垃圾以及容易造成电梯损坏的家具、家用电器等物品的，采取有效的安全防护技术措施或者安排人员进行现场管理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检验方法：查阅相关管理制度，询问执行情况，查验相关记录，检查现场防护的存放情况、人员密集的侯梯厅疏导情况等。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当使用电梯运载建筑材料、建筑垃圾以及容易造成电梯损坏的家具、家用电器等物品时，电梯使用单位是否建立相关管理制度，如报备后采取现场管理或采取有效安全防护技术措施等，查验相关见证材料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实时监控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（C）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322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学校、幼儿园、医疗机构、车站、机场、口岸、客运码头、商场、餐饮场所、体育场馆、展览馆、公园、宾馆、影剧院、图书馆、儿童活动中心、公共浴池、养老机构等公众聚集场所</w:t>
            </w:r>
            <w:r>
              <w:rPr>
                <w:rFonts w:ascii="Arial" w:hAnsi="Arial" w:cs="Arial"/>
                <w:color w:val="333333"/>
                <w:szCs w:val="21"/>
                <w:highlight w:val="none"/>
                <w:shd w:val="clear" w:color="auto" w:fill="FFFFFF"/>
              </w:rPr>
              <w:t>使用的电梯实施实时监控，监控数据应当保存不少于一个月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现场检查。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（1）查看是否设置实时监控设备；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（2）查看监控数据保存时间是否不少于1个月，且连续不间断。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9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4.8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紧急照明和报警装置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（B）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轿厢内应当装设符合下述要求的紧急报警装置和紧急照明：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(1)正常照明电源中断时，能够自动接通紧急照明电源。</w:t>
            </w:r>
          </w:p>
        </w:tc>
        <w:tc>
          <w:tcPr>
            <w:tcW w:w="5555" w:type="dxa"/>
            <w:vMerge w:val="restart"/>
            <w:shd w:val="clear" w:color="auto" w:fill="auto"/>
            <w:vAlign w:val="center"/>
          </w:tcPr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接通和断开紧急报警装置的正常供电电源，分别验证紧急报警装置的功能；断开正常照明供电电源，验证紧急照明的功能。</w:t>
            </w:r>
          </w:p>
          <w:p>
            <w:pPr>
              <w:pStyle w:val="20"/>
              <w:rPr>
                <w:rFonts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kern w:val="2"/>
                <w:sz w:val="21"/>
                <w:szCs w:val="21"/>
                <w:highlight w:val="none"/>
              </w:rPr>
              <w:t>【补充说明】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若轿内电话与公用电话网连接，并且应急照明满足看见所标永久性的电话号码以及电话号码盘，则按</w:t>
            </w:r>
            <w:r>
              <w:rPr>
                <w:rFonts w:cs="宋体"/>
                <w:szCs w:val="21"/>
                <w:highlight w:val="none"/>
              </w:rPr>
              <w:t>合格判定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56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(2)紧急报警装置采用对讲系统以便与救援服务持续联系，当电梯行程大于30m时，在轿厢和机房(或者紧急操作地点)之间也设置对讲系统，紧急报警装置的供电来自本条(1)所述的紧急照明电源或者等效电源；在启动对讲系统后，被困乘客不必再做其他操作</w:t>
            </w:r>
          </w:p>
        </w:tc>
        <w:tc>
          <w:tcPr>
            <w:tcW w:w="5555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1</w:t>
            </w:r>
            <w:r>
              <w:rPr>
                <w:rFonts w:hint="eastAsia" w:cs="宋体"/>
                <w:szCs w:val="21"/>
                <w:highlight w:val="none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救援服务组织的考核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（C）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电梯使用单位应安装电梯应急呼救系统并保障有效使用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模拟试验，结合“4.8紧急照明和报警装置（2）”试验一并验证，本条项目是建立在确定上述试验符合要求前提下进行判定的。如果“4.8紧急照明和报警装置（2）”检验结果为不符合，则本项目按不适用处理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《广东省电梯使用安全条例》第九条第（五）项规定，应确保电梯紧急报警装置有效使用和值班人员在电梯运行期间在岗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1</w:t>
            </w:r>
            <w:r>
              <w:rPr>
                <w:rFonts w:hint="eastAsia" w:cs="宋体"/>
                <w:szCs w:val="21"/>
                <w:highlight w:val="none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使用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标志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及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注意事项（B）</w:t>
            </w:r>
          </w:p>
        </w:tc>
        <w:tc>
          <w:tcPr>
            <w:tcW w:w="663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电梯使用单位应当在电梯明显位置标明检验标志、维护保养标志、安全提示、警示标志以及服务、投诉、救援电话</w:t>
            </w:r>
          </w:p>
        </w:tc>
        <w:tc>
          <w:tcPr>
            <w:tcW w:w="5555" w:type="dxa"/>
            <w:shd w:val="clear" w:color="auto" w:fill="auto"/>
            <w:vAlign w:val="center"/>
          </w:tcPr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目测。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</w:t>
            </w:r>
          </w:p>
          <w:p>
            <w:pPr>
              <w:autoSpaceDE w:val="0"/>
              <w:autoSpaceDN w:val="0"/>
              <w:adjustRightInd w:val="0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《</w:t>
            </w:r>
            <w:r>
              <w:rPr>
                <w:rFonts w:hint="eastAsia" w:cs="宋体"/>
                <w:szCs w:val="21"/>
                <w:highlight w:val="none"/>
              </w:rPr>
              <w:t>特种设备使用管理规则</w:t>
            </w:r>
            <w:r>
              <w:rPr>
                <w:rFonts w:cs="宋体"/>
                <w:szCs w:val="21"/>
                <w:highlight w:val="none"/>
              </w:rPr>
              <w:t xml:space="preserve">》（TSG </w:t>
            </w:r>
            <w:r>
              <w:rPr>
                <w:rFonts w:hint="eastAsia" w:cs="宋体"/>
                <w:szCs w:val="21"/>
                <w:highlight w:val="none"/>
              </w:rPr>
              <w:t>08</w:t>
            </w:r>
            <w:r>
              <w:rPr>
                <w:rFonts w:cs="宋体"/>
                <w:szCs w:val="21"/>
                <w:highlight w:val="none"/>
              </w:rPr>
              <w:t>-20</w:t>
            </w:r>
            <w:r>
              <w:rPr>
                <w:rFonts w:hint="eastAsia" w:cs="宋体"/>
                <w:szCs w:val="21"/>
                <w:highlight w:val="none"/>
              </w:rPr>
              <w:t>17</w:t>
            </w:r>
            <w:r>
              <w:rPr>
                <w:rFonts w:cs="宋体"/>
                <w:szCs w:val="21"/>
                <w:highlight w:val="none"/>
              </w:rPr>
              <w:t>）</w:t>
            </w:r>
            <w:r>
              <w:rPr>
                <w:rFonts w:hint="eastAsia" w:cs="宋体"/>
                <w:szCs w:val="21"/>
                <w:highlight w:val="none"/>
              </w:rPr>
              <w:t>规定了，《特种设备使用标志》固定在电梯轿厢（或者扶梯、人行道出入口）易于乘客看见的部位</w:t>
            </w:r>
          </w:p>
        </w:tc>
      </w:tr>
    </w:tbl>
    <w:p>
      <w:pPr>
        <w:rPr>
          <w:rFonts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备注：</w:t>
      </w:r>
      <w:r>
        <w:rPr>
          <w:rFonts w:cs="宋体"/>
          <w:szCs w:val="21"/>
          <w:highlight w:val="none"/>
        </w:rPr>
        <w:t>1</w:t>
      </w:r>
      <w:r>
        <w:rPr>
          <w:rFonts w:hint="eastAsia" w:cs="宋体"/>
          <w:szCs w:val="21"/>
          <w:highlight w:val="none"/>
        </w:rPr>
        <w:t>.第</w:t>
      </w:r>
      <w:r>
        <w:rPr>
          <w:rFonts w:cs="宋体"/>
          <w:szCs w:val="21"/>
          <w:highlight w:val="none"/>
        </w:rPr>
        <w:t>1</w:t>
      </w:r>
      <w:r>
        <w:rPr>
          <w:rFonts w:hint="eastAsia" w:cs="宋体"/>
          <w:szCs w:val="21"/>
          <w:highlight w:val="none"/>
        </w:rPr>
        <w:t>项的项目内容与《特种设备安全法》第三十五条和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第十条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spacing w:line="264" w:lineRule="auto"/>
        <w:ind w:firstLine="630" w:firstLineChars="300"/>
        <w:jc w:val="left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2.第</w:t>
      </w:r>
      <w:r>
        <w:rPr>
          <w:rFonts w:hint="eastAsia" w:cs="宋体"/>
          <w:szCs w:val="21"/>
          <w:highlight w:val="none"/>
        </w:rPr>
        <w:t>4</w:t>
      </w:r>
      <w:r>
        <w:rPr>
          <w:rFonts w:cs="宋体"/>
          <w:szCs w:val="21"/>
          <w:highlight w:val="none"/>
        </w:rPr>
        <w:t>项</w:t>
      </w:r>
      <w:r>
        <w:rPr>
          <w:rFonts w:hint="eastAsia" w:cs="宋体"/>
          <w:szCs w:val="21"/>
          <w:highlight w:val="none"/>
        </w:rPr>
        <w:t>的</w:t>
      </w:r>
      <w:r>
        <w:rPr>
          <w:rFonts w:cs="宋体"/>
          <w:szCs w:val="21"/>
          <w:highlight w:val="none"/>
        </w:rPr>
        <w:t>项目内容与</w:t>
      </w:r>
      <w:r>
        <w:rPr>
          <w:rFonts w:hint="eastAsia" w:cs="宋体"/>
          <w:szCs w:val="21"/>
          <w:highlight w:val="none"/>
        </w:rPr>
        <w:t>《特种设备安全法》第三十四条和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第十一条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spacing w:line="264" w:lineRule="auto"/>
        <w:ind w:firstLine="630" w:firstLineChars="300"/>
        <w:jc w:val="left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3.</w:t>
      </w:r>
      <w:r>
        <w:rPr>
          <w:rFonts w:hint="eastAsia" w:cs="宋体"/>
          <w:szCs w:val="21"/>
          <w:highlight w:val="none"/>
        </w:rPr>
        <w:t>第5、6项的项目内容与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第九条第（二）项和《特种设备使用管理规则》（</w:t>
      </w:r>
      <w:r>
        <w:rPr>
          <w:rFonts w:cs="宋体"/>
          <w:szCs w:val="21"/>
          <w:highlight w:val="none"/>
        </w:rPr>
        <w:t>TSG 08-2017</w:t>
      </w:r>
      <w:r>
        <w:rPr>
          <w:rFonts w:hint="eastAsia" w:cs="宋体"/>
          <w:szCs w:val="21"/>
          <w:highlight w:val="none"/>
        </w:rPr>
        <w:t>）中2</w:t>
      </w:r>
      <w:r>
        <w:rPr>
          <w:rFonts w:cs="宋体"/>
          <w:szCs w:val="21"/>
          <w:highlight w:val="none"/>
        </w:rPr>
        <w:t>.4.2</w:t>
      </w:r>
      <w:r>
        <w:rPr>
          <w:rFonts w:hint="eastAsia" w:cs="宋体"/>
          <w:szCs w:val="21"/>
          <w:highlight w:val="none"/>
        </w:rPr>
        <w:t>相对应；</w:t>
      </w:r>
    </w:p>
    <w:p>
      <w:pPr>
        <w:ind w:firstLine="630" w:firstLineChars="300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4</w:t>
      </w:r>
      <w:r>
        <w:rPr>
          <w:rFonts w:hint="eastAsia" w:cs="宋体"/>
          <w:szCs w:val="21"/>
          <w:highlight w:val="none"/>
        </w:rPr>
        <w:t>.第7</w:t>
      </w:r>
      <w:r>
        <w:rPr>
          <w:rFonts w:cs="宋体"/>
          <w:szCs w:val="21"/>
          <w:highlight w:val="none"/>
        </w:rPr>
        <w:t>项的项目内容与</w:t>
      </w:r>
      <w:r>
        <w:rPr>
          <w:rFonts w:hint="eastAsia"/>
          <w:highlight w:val="none"/>
        </w:rPr>
        <w:t>《深圳经济特区特种设备安全条例》第二十四条第（五）项和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第九条第（八）项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ind w:firstLine="630" w:firstLineChars="300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5.</w:t>
      </w:r>
      <w:r>
        <w:rPr>
          <w:rFonts w:hint="eastAsia" w:cs="宋体"/>
          <w:szCs w:val="21"/>
          <w:highlight w:val="none"/>
        </w:rPr>
        <w:t>第8项的项目内容与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第九条第（十三）项和《特种设备使用管理规则》（</w:t>
      </w:r>
      <w:r>
        <w:rPr>
          <w:rFonts w:cs="宋体"/>
          <w:szCs w:val="21"/>
          <w:highlight w:val="none"/>
        </w:rPr>
        <w:t>TSG 08-2017</w:t>
      </w:r>
      <w:r>
        <w:rPr>
          <w:rFonts w:hint="eastAsia" w:cs="宋体"/>
          <w:szCs w:val="21"/>
          <w:highlight w:val="none"/>
        </w:rPr>
        <w:t>）中2</w:t>
      </w:r>
      <w:r>
        <w:rPr>
          <w:rFonts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3</w:t>
      </w:r>
      <w:r>
        <w:rPr>
          <w:rFonts w:cs="宋体"/>
          <w:szCs w:val="21"/>
          <w:highlight w:val="none"/>
        </w:rPr>
        <w:t>.2</w:t>
      </w:r>
      <w:r>
        <w:rPr>
          <w:rFonts w:hint="eastAsia" w:cs="宋体"/>
          <w:szCs w:val="21"/>
          <w:highlight w:val="none"/>
        </w:rPr>
        <w:t>注2-3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ind w:firstLine="630" w:firstLineChars="300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6.</w:t>
      </w:r>
      <w:r>
        <w:rPr>
          <w:rFonts w:hint="eastAsia" w:cs="宋体"/>
          <w:szCs w:val="21"/>
          <w:highlight w:val="none"/>
        </w:rPr>
        <w:t>第9项的项目栏中数字序号与《电梯监督检验和定期检验规则——曳引与强制驱动电梯》（</w:t>
      </w:r>
      <w:r>
        <w:rPr>
          <w:rFonts w:cs="宋体"/>
          <w:szCs w:val="21"/>
          <w:highlight w:val="none"/>
        </w:rPr>
        <w:t>TSG T7001－2009，含第1号</w:t>
      </w:r>
      <w:r>
        <w:rPr>
          <w:rFonts w:hint="eastAsia" w:cs="宋体"/>
          <w:szCs w:val="21"/>
          <w:highlight w:val="none"/>
        </w:rPr>
        <w:t>、</w:t>
      </w:r>
      <w:r>
        <w:rPr>
          <w:rFonts w:cs="宋体"/>
          <w:szCs w:val="21"/>
          <w:highlight w:val="none"/>
        </w:rPr>
        <w:t>第2号</w:t>
      </w:r>
      <w:r>
        <w:rPr>
          <w:rFonts w:hint="eastAsia" w:cs="宋体"/>
          <w:szCs w:val="21"/>
          <w:highlight w:val="none"/>
        </w:rPr>
        <w:t>和第3号</w:t>
      </w:r>
      <w:r>
        <w:rPr>
          <w:rFonts w:cs="宋体"/>
          <w:szCs w:val="21"/>
          <w:highlight w:val="none"/>
        </w:rPr>
        <w:t>修改单）的附件A的条文序号一致；</w:t>
      </w:r>
    </w:p>
    <w:p>
      <w:pPr>
        <w:ind w:firstLine="630" w:firstLineChars="300"/>
        <w:rPr>
          <w:highlight w:val="none"/>
        </w:rPr>
      </w:pPr>
      <w:r>
        <w:rPr>
          <w:rFonts w:hint="eastAsia" w:cs="宋体"/>
          <w:szCs w:val="21"/>
          <w:highlight w:val="none"/>
        </w:rPr>
        <w:t>7</w:t>
      </w:r>
      <w:r>
        <w:rPr>
          <w:rFonts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第</w:t>
      </w:r>
      <w:r>
        <w:rPr>
          <w:rFonts w:cs="宋体"/>
          <w:szCs w:val="21"/>
          <w:highlight w:val="none"/>
        </w:rPr>
        <w:t>1</w:t>
      </w:r>
      <w:r>
        <w:rPr>
          <w:rFonts w:hint="eastAsia" w:cs="宋体"/>
          <w:szCs w:val="21"/>
          <w:highlight w:val="none"/>
        </w:rPr>
        <w:t>0项的项目内容与</w:t>
      </w:r>
      <w:r>
        <w:rPr>
          <w:rFonts w:hint="eastAsia"/>
          <w:highlight w:val="none"/>
        </w:rPr>
        <w:t>《深圳经济特区特种设备安全条例》第二十四条第（二）项和</w:t>
      </w:r>
      <w:r>
        <w:rPr>
          <w:rFonts w:hint="eastAsia" w:cs="宋体"/>
          <w:szCs w:val="21"/>
          <w:highlight w:val="none"/>
        </w:rPr>
        <w:t>《广东省电梯使用安全条例》第九条第（五）项</w:t>
      </w:r>
      <w:r>
        <w:rPr>
          <w:rFonts w:hint="eastAsia"/>
          <w:highlight w:val="none"/>
        </w:rPr>
        <w:t>相对应；</w:t>
      </w:r>
    </w:p>
    <w:p>
      <w:pPr>
        <w:ind w:firstLine="630" w:firstLineChars="300"/>
        <w:rPr>
          <w:highlight w:val="none"/>
        </w:rPr>
      </w:pPr>
      <w:r>
        <w:rPr>
          <w:rFonts w:hint="eastAsia"/>
          <w:highlight w:val="none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</w:rPr>
        <w:t>第</w:t>
      </w:r>
      <w:r>
        <w:rPr>
          <w:highlight w:val="none"/>
        </w:rPr>
        <w:t>1</w:t>
      </w:r>
      <w:r>
        <w:rPr>
          <w:rFonts w:hint="eastAsia"/>
          <w:highlight w:val="none"/>
        </w:rPr>
        <w:t>1项的项目内容与《深圳经济特区特种设备安全条例》第二十四条第（四）项和</w:t>
      </w:r>
      <w:r>
        <w:rPr>
          <w:rFonts w:hint="eastAsia" w:cs="宋体"/>
          <w:szCs w:val="21"/>
          <w:highlight w:val="none"/>
        </w:rPr>
        <w:t>《广东省电梯使用安全条例》第九条第（四）项</w:t>
      </w:r>
      <w:r>
        <w:rPr>
          <w:rFonts w:hint="eastAsia"/>
          <w:highlight w:val="none"/>
        </w:rPr>
        <w:t>相对应；</w:t>
      </w:r>
    </w:p>
    <w:p>
      <w:pPr>
        <w:ind w:firstLine="630" w:firstLineChars="300"/>
        <w:rPr>
          <w:highlight w:val="none"/>
        </w:rPr>
      </w:pPr>
      <w:r>
        <w:rPr>
          <w:rFonts w:hint="eastAsia"/>
          <w:highlight w:val="none"/>
        </w:rPr>
        <w:t>9</w:t>
      </w:r>
      <w:r>
        <w:rPr>
          <w:highlight w:val="none"/>
        </w:rPr>
        <w:t>.</w:t>
      </w:r>
      <w:r>
        <w:rPr>
          <w:rFonts w:hint="eastAsia"/>
          <w:highlight w:val="none"/>
        </w:rPr>
        <w:t>带◇项目（第2、3项）为统计项目，不作符合性判定；当存在该类项目不合格（缺少资料）时，应通过《监督抽查初步结果通知书》告知受检单位尽量补齐，并叮嘱企业长期保存。</w:t>
      </w:r>
    </w:p>
    <w:p>
      <w:pPr>
        <w:rPr>
          <w:rFonts w:cs="宋体"/>
          <w:szCs w:val="21"/>
          <w:highlight w:val="none"/>
        </w:rPr>
      </w:pPr>
    </w:p>
    <w:p>
      <w:pPr>
        <w:pStyle w:val="22"/>
        <w:numPr>
          <w:ilvl w:val="0"/>
          <w:numId w:val="1"/>
        </w:numPr>
        <w:ind w:firstLineChars="0"/>
        <w:rPr>
          <w:rFonts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自动扶梯、自动人行道抽查项目</w:t>
      </w:r>
    </w:p>
    <w:tbl>
      <w:tblPr>
        <w:tblStyle w:val="10"/>
        <w:tblW w:w="13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4"/>
        <w:gridCol w:w="5383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安全技术档案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（B）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电梯使用单位应当建立电梯安全技术档案并长期保存。</w:t>
            </w:r>
          </w:p>
          <w:p>
            <w:pPr>
              <w:spacing w:line="300" w:lineRule="exac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安全技术档案，应当包括《特种设备安全法》第三十五条所规定的内容，即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</w:t>
            </w:r>
            <w:r>
              <w:rPr>
                <w:rFonts w:hint="eastAsia"/>
                <w:bCs/>
                <w:sz w:val="16"/>
                <w:szCs w:val="21"/>
                <w:highlight w:val="none"/>
                <w:u w:val="single"/>
              </w:rPr>
              <w:t>不含统计项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）</w:t>
            </w:r>
            <w:r>
              <w:rPr>
                <w:rFonts w:hint="eastAsia"/>
                <w:bCs/>
                <w:szCs w:val="21"/>
                <w:highlight w:val="none"/>
              </w:rPr>
              <w:t>：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产品质量合格证明、安装及使用维护保养说明、监督检验证明等相关技术资料和文件；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特种设备的定期检验和定期自行检查记录；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3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③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特种设备的日常使用状况记录；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4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④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特种设备及其附属仪器仪表的维护保养记录；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5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⑤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特种设备的运行故障和事故记录。</w:t>
            </w:r>
          </w:p>
          <w:p>
            <w:pPr>
              <w:spacing w:line="300" w:lineRule="exact"/>
              <w:rPr>
                <w:bCs/>
                <w:sz w:val="16"/>
                <w:szCs w:val="16"/>
                <w:highlight w:val="none"/>
                <w:u w:val="single"/>
              </w:rPr>
            </w:pP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t>注：在TSG T7001-2009实施前已经完成安装、改造或者重大修理的，本项</w:t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fldChar w:fldCharType="begin"/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instrText xml:space="preserve"> = 1 \* GB3 \* MERGEFORMAT </w:instrText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fldChar w:fldCharType="separate"/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t>①</w:t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fldChar w:fldCharType="end"/>
            </w:r>
            <w:r>
              <w:rPr>
                <w:rFonts w:hint="eastAsia"/>
                <w:bCs/>
                <w:sz w:val="16"/>
                <w:szCs w:val="16"/>
                <w:highlight w:val="none"/>
                <w:u w:val="single"/>
              </w:rPr>
              <w:t>所述文件资料的检查情况，记载在“◇出厂文件”项中</w:t>
            </w:r>
          </w:p>
          <w:p>
            <w:pPr>
              <w:spacing w:line="300" w:lineRule="exac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对于2015年10月1日后办理使用登记的电梯，其安全技术档案还应当包括《广东省电梯使用安全条例》第十条所规定的内容，即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</w:t>
            </w:r>
            <w:r>
              <w:rPr>
                <w:rFonts w:hint="eastAsia"/>
                <w:bCs/>
                <w:sz w:val="16"/>
                <w:szCs w:val="21"/>
                <w:highlight w:val="none"/>
                <w:u w:val="single"/>
              </w:rPr>
              <w:t>不含统计项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）</w:t>
            </w:r>
            <w:r>
              <w:rPr>
                <w:rFonts w:hint="eastAsia"/>
                <w:bCs/>
                <w:szCs w:val="21"/>
                <w:highlight w:val="none"/>
              </w:rPr>
              <w:t>：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6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⑥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产品质量合格证明，安装及维护保养说明；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7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⑦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电梯安装、改造、修理施工过程记录等施工文件；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8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⑧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维护保养和定期自行检查记录，</w:t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安全保护装置定期校验、检修记录，</w:t>
            </w:r>
            <w:r>
              <w:rPr>
                <w:rFonts w:hint="eastAsia"/>
                <w:bCs/>
                <w:szCs w:val="21"/>
                <w:highlight w:val="none"/>
              </w:rPr>
              <w:t>运行故障和事故记录；</w:t>
            </w:r>
          </w:p>
          <w:p>
            <w:pPr>
              <w:snapToGrid w:val="0"/>
              <w:spacing w:line="320" w:lineRule="exact"/>
              <w:ind w:firstLine="210" w:firstLineChars="100"/>
              <w:rPr>
                <w:rFonts w:cs="宋体"/>
                <w:sz w:val="20"/>
                <w:szCs w:val="21"/>
                <w:highlight w:val="none"/>
              </w:rPr>
            </w:pPr>
            <w:r>
              <w:rPr>
                <w:bCs/>
                <w:szCs w:val="21"/>
                <w:highlight w:val="none"/>
              </w:rPr>
              <w:fldChar w:fldCharType="begin"/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= 9 \* GB3</w:instrText>
            </w:r>
            <w:r>
              <w:rPr>
                <w:bCs/>
                <w:szCs w:val="21"/>
                <w:highlight w:val="none"/>
              </w:rPr>
              <w:instrText xml:space="preserve"> </w:instrText>
            </w:r>
            <w:r>
              <w:rPr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⑨</w:t>
            </w:r>
            <w:r>
              <w:rPr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监督检验和定期检验报告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【补充说明】关于维保记录内容信息、填写、签字的规范性等要求，纳入维保质量抽查项目，在此不作要求。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2" w:lineRule="exac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  <w:highlight w:val="none"/>
              </w:rPr>
            </w:pPr>
            <w:r>
              <w:rPr>
                <w:rFonts w:ascii="黑体" w:hAnsi="黑体" w:eastAsia="黑体"/>
                <w:szCs w:val="21"/>
                <w:highlight w:val="none"/>
              </w:rPr>
              <w:t>◇</w:t>
            </w:r>
          </w:p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出厂文件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 w:val="28"/>
                <w:szCs w:val="21"/>
                <w:highlight w:val="none"/>
              </w:rPr>
            </w:pPr>
            <w:r>
              <w:rPr>
                <w:rFonts w:hint="eastAsia"/>
                <w:bCs/>
                <w:szCs w:val="16"/>
                <w:highlight w:val="none"/>
              </w:rPr>
              <w:t>发现缺少</w:t>
            </w:r>
            <w:r>
              <w:rPr>
                <w:rFonts w:hint="eastAsia"/>
                <w:bCs/>
                <w:szCs w:val="16"/>
                <w:highlight w:val="none"/>
              </w:rPr>
              <w:t>第2-3项</w:t>
            </w:r>
            <w:r>
              <w:rPr>
                <w:rFonts w:hint="eastAsia"/>
                <w:bCs/>
                <w:szCs w:val="16"/>
                <w:highlight w:val="none"/>
              </w:rPr>
              <w:t>所列资料的，需通知企业尽量补齐，并叮嘱企业长期保存：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特种设备的设计文件；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zCs w:val="21"/>
                <w:highlight w:val="none"/>
              </w:rPr>
              <w:t>产品质量合格证明、安装及使用维护保养说明、监督检验证明等相关技术资料和文件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（仅适用于在TSG T7001-2009实施前已经完成安装、改造或者重大修理的）</w:t>
            </w:r>
            <w:r>
              <w:rPr>
                <w:rFonts w:hint="eastAsia"/>
                <w:bCs/>
                <w:szCs w:val="21"/>
                <w:highlight w:val="none"/>
              </w:rPr>
              <w:t>；</w:t>
            </w:r>
          </w:p>
          <w:p>
            <w:pPr>
              <w:spacing w:line="300" w:lineRule="exact"/>
              <w:ind w:firstLine="210" w:firstLineChars="100"/>
              <w:rPr>
                <w:bCs/>
                <w:szCs w:val="21"/>
                <w:highlight w:val="none"/>
              </w:rPr>
            </w:pPr>
            <w:r>
              <w:rPr>
                <w:bCs/>
                <w:snapToGrid w:val="0"/>
                <w:kern w:val="0"/>
                <w:szCs w:val="21"/>
                <w:highlight w:val="none"/>
              </w:rPr>
              <w:fldChar w:fldCharType="begin"/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instrText xml:space="preserve"> </w:instrText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instrText xml:space="preserve">= 3 \* GB3</w:instrText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instrText xml:space="preserve"> </w:instrText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③</w:t>
            </w:r>
            <w:r>
              <w:rPr>
                <w:bCs/>
                <w:snapToGrid w:val="0"/>
                <w:kern w:val="0"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型式试验报告，</w:t>
            </w:r>
            <w:r>
              <w:rPr>
                <w:rFonts w:hint="eastAsia"/>
                <w:bCs/>
                <w:szCs w:val="21"/>
                <w:highlight w:val="none"/>
              </w:rPr>
              <w:t>应急处置技术指导文件</w:t>
            </w:r>
            <w:r>
              <w:rPr>
                <w:rFonts w:hint="eastAsia"/>
                <w:bCs/>
                <w:sz w:val="16"/>
                <w:szCs w:val="21"/>
                <w:highlight w:val="none"/>
              </w:rPr>
              <w:t>（仅适用于2015年10月1日后办理使用登记的）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【补充说明】该项为统计项目，不作符合性判定。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2" w:lineRule="exac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  <w:highlight w:val="none"/>
              </w:rPr>
            </w:pPr>
            <w:r>
              <w:rPr>
                <w:rFonts w:ascii="黑体" w:hAnsi="黑体" w:eastAsia="黑体"/>
                <w:szCs w:val="21"/>
                <w:highlight w:val="none"/>
              </w:rPr>
              <w:t>◇</w:t>
            </w:r>
          </w:p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施工文件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施工文件（隐蔽工程资料、重大技术问题处理文件）</w:t>
            </w:r>
          </w:p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 w:val="16"/>
                <w:szCs w:val="21"/>
                <w:highlight w:val="none"/>
              </w:rPr>
              <w:t>（仅适用于2015年10月1日后办理使用登记的）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【补充说明】该项为统计项目，不作符合性判定。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4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安全管理制度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（C）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电梯使用单位应当建立岗位责任、隐患治理、应急救援等安全管理制度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安全管理制度至少应包括以下内容：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（1）岗位职责制度；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（2）隐患排查治理制度；</w:t>
            </w:r>
          </w:p>
          <w:p>
            <w:pPr>
              <w:spacing w:line="320" w:lineRule="exact"/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</w:t>
            </w:r>
            <w:r>
              <w:rPr>
                <w:spacing w:val="-10"/>
                <w:highlight w:val="none"/>
              </w:rPr>
              <w:t>3</w:t>
            </w:r>
            <w:r>
              <w:rPr>
                <w:rFonts w:hint="eastAsia"/>
                <w:spacing w:val="-10"/>
                <w:highlight w:val="none"/>
              </w:rPr>
              <w:t>）应急救援制度。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【补充说明】要求各项制度填写规范并盖有电梯使用单位公章（私人单位签字按手印）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安全管理负责人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C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电梯使用单位应指定或者配备电梯安全管理负责人；</w:t>
            </w:r>
          </w:p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按照TSG 08-2017要求设置安全管理机构的使用单位安全管理负责人，应当取得相应的特种设备安全管理资格证书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检验方法：查验资料。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（1）是否设置安全管理负责人，检查是否有人员任命书：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snapToGrid w:val="0"/>
                <w:kern w:val="0"/>
                <w:highlight w:val="none"/>
              </w:rPr>
              <w:t>符合</w:t>
            </w:r>
            <w:r>
              <w:rPr>
                <w:rFonts w:hint="eastAsia"/>
                <w:highlight w:val="none"/>
              </w:rPr>
              <w:t>设置安全管理机构要求（注1）的，查看安全管理负责人特种设备安全管理人员资格证书；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（2）是否设置安全管理员：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符合配备专职安全管理员要求（注2）的，查看专职安全管理员相应的特种设备安全管理人员资格证书，检查其证书是否有相应聘用信息；不需要配备专职安全管理员要求的，可以配备兼职安全管理员</w:t>
            </w:r>
            <w:r>
              <w:rPr>
                <w:highlight w:val="none"/>
              </w:rPr>
              <w:t>(</w:t>
            </w:r>
            <w:r>
              <w:rPr>
                <w:rFonts w:hint="eastAsia"/>
                <w:highlight w:val="none"/>
              </w:rPr>
              <w:t>注3</w:t>
            </w:r>
            <w:r>
              <w:rPr>
                <w:highlight w:val="none"/>
              </w:rPr>
              <w:t>)</w:t>
            </w:r>
            <w:r>
              <w:rPr>
                <w:rFonts w:hint="eastAsia"/>
                <w:highlight w:val="none"/>
              </w:rPr>
              <w:t>，也可以委托具有特种设备安全管理人员资格的人员负责使用管理。</w:t>
            </w:r>
          </w:p>
          <w:p>
            <w:pPr>
              <w:rPr>
                <w:b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sz w:val="18"/>
                <w:szCs w:val="18"/>
                <w:highlight w:val="none"/>
              </w:rPr>
              <w:t>注1：设置安全管理机构要求，本次监督抽查按照TSG 08-2017《特种设备使用管理规则》中2.3.2(5)的要求执行。</w:t>
            </w:r>
          </w:p>
          <w:p>
            <w:pPr>
              <w:rPr>
                <w:b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sz w:val="18"/>
                <w:szCs w:val="18"/>
                <w:highlight w:val="none"/>
              </w:rPr>
              <w:t>注2：配备专职安全管理员要求，按照TSG 08-2017《特种设备使用管理规则》中2.4.2.2.2的要求执行。</w:t>
            </w:r>
          </w:p>
          <w:p>
            <w:pPr>
              <w:spacing w:line="32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b/>
                <w:sz w:val="18"/>
                <w:szCs w:val="18"/>
                <w:highlight w:val="none"/>
              </w:rPr>
              <w:t>注3：兼职安全管理员不要求取得相应的特种设备安全管理人员资格证书。对于允许配置兼职安全管理员的，且已在本周期定期检验时提交了声明材料的，“安全管理员”项可直接视为符合要求。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6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安全</w:t>
            </w:r>
          </w:p>
          <w:p>
            <w:pPr>
              <w:spacing w:line="280" w:lineRule="exact"/>
              <w:jc w:val="center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管理员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B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1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①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电梯使用单位应指定或者配备电梯安全管理员；</w:t>
            </w:r>
          </w:p>
          <w:p>
            <w:pPr>
              <w:spacing w:line="300" w:lineRule="exact"/>
              <w:rPr>
                <w:bCs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fldChar w:fldCharType="begin"/>
            </w:r>
            <w:r>
              <w:rPr>
                <w:rFonts w:hint="eastAsia"/>
                <w:bCs/>
                <w:szCs w:val="21"/>
                <w:highlight w:val="none"/>
              </w:rPr>
              <w:instrText xml:space="preserve"> = 2 \* GB3 \* MERGEFORMAT </w:instrText>
            </w:r>
            <w:r>
              <w:rPr>
                <w:rFonts w:hint="eastAsia"/>
                <w:bCs/>
                <w:szCs w:val="21"/>
                <w:highlight w:val="none"/>
              </w:rPr>
              <w:fldChar w:fldCharType="separate"/>
            </w:r>
            <w:r>
              <w:rPr>
                <w:rFonts w:hint="eastAsia"/>
                <w:bCs/>
                <w:szCs w:val="21"/>
                <w:highlight w:val="none"/>
              </w:rPr>
              <w:t>②</w:t>
            </w:r>
            <w:r>
              <w:rPr>
                <w:rFonts w:hint="eastAsia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/>
                <w:bCs/>
                <w:snapToGrid w:val="0"/>
                <w:kern w:val="0"/>
                <w:szCs w:val="21"/>
                <w:highlight w:val="none"/>
              </w:rPr>
              <w:t>按照TSG 08-2017要求配备专职安全管理员的使用单位，其专职安全管理员应当取得相应的特种设备安全管理人员资格证书。除此之外，至少配备兼职安全管理员，或者委托具有特种设备安全管理人员资格的人员负责使用管理</w:t>
            </w:r>
          </w:p>
        </w:tc>
        <w:tc>
          <w:tcPr>
            <w:tcW w:w="694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7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实时监控</w:t>
            </w:r>
          </w:p>
          <w:p>
            <w:pPr>
              <w:spacing w:line="32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（C）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322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学校、幼儿园、医疗机构、车站、机场、口岸、客运码头、商场、餐饮场所、体育场馆、展览馆、公园、宾馆、影剧院、图书馆、儿童活动中心、公共浴池、养老机构等公众聚集场所</w:t>
            </w:r>
            <w:r>
              <w:rPr>
                <w:rFonts w:ascii="Arial" w:hAnsi="Arial" w:cs="Arial"/>
                <w:color w:val="333333"/>
                <w:szCs w:val="21"/>
                <w:highlight w:val="none"/>
                <w:shd w:val="clear" w:color="auto" w:fill="FFFFFF"/>
              </w:rPr>
              <w:t>使用的电梯实施实时监控，监控数据应当保存不少于一个月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现场检查。</w:t>
            </w:r>
          </w:p>
          <w:p>
            <w:pPr>
              <w:rPr>
                <w:spacing w:val="-10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（1）查看是否设置实时监控设备；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/>
                <w:spacing w:val="-10"/>
                <w:highlight w:val="none"/>
              </w:rPr>
              <w:t>（2）查看监控数据保存时间是否不少于1个月，且连续不间断。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8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9</w:t>
            </w:r>
            <w:r>
              <w:rPr>
                <w:rFonts w:cs="宋体"/>
                <w:szCs w:val="21"/>
                <w:highlight w:val="none"/>
              </w:rPr>
              <w:t>.</w:t>
            </w:r>
            <w:r>
              <w:rPr>
                <w:rFonts w:hint="eastAsia" w:cs="宋体"/>
                <w:szCs w:val="21"/>
                <w:highlight w:val="none"/>
              </w:rPr>
              <w:t>1</w:t>
            </w:r>
          </w:p>
          <w:p>
            <w:pPr>
              <w:spacing w:line="26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使用</w:t>
            </w:r>
          </w:p>
          <w:p>
            <w:pPr>
              <w:spacing w:line="26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须知</w:t>
            </w:r>
          </w:p>
          <w:p>
            <w:pPr>
              <w:spacing w:line="26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（B）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在自动扶梯或自动人行道入口处应</w:t>
            </w:r>
            <w:r>
              <w:rPr>
                <w:rFonts w:hint="eastAsia" w:cs="宋体"/>
                <w:szCs w:val="21"/>
                <w:highlight w:val="none"/>
              </w:rPr>
              <w:t>当</w:t>
            </w:r>
            <w:r>
              <w:rPr>
                <w:rFonts w:cs="宋体"/>
                <w:szCs w:val="21"/>
                <w:highlight w:val="none"/>
              </w:rPr>
              <w:t>设置使用须知的标牌，标牌须包括以下内容：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①应拉</w:t>
            </w:r>
            <w:r>
              <w:rPr>
                <w:rFonts w:cs="宋体"/>
                <w:szCs w:val="21"/>
                <w:highlight w:val="none"/>
              </w:rPr>
              <w:t>住小孩；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②应</w:t>
            </w:r>
            <w:r>
              <w:rPr>
                <w:rFonts w:cs="宋体"/>
                <w:szCs w:val="21"/>
                <w:highlight w:val="none"/>
              </w:rPr>
              <w:t>抱住宠物；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③握住扶手带</w:t>
            </w:r>
            <w:r>
              <w:rPr>
                <w:rFonts w:cs="宋体"/>
                <w:szCs w:val="21"/>
                <w:highlight w:val="none"/>
              </w:rPr>
              <w:t>；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④禁止使用非专用手推车(无坡度自动人行道除外)。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这些使用须知，应尽可能用象形图表示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外观检查。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标志应由经久耐用的材料制成，设置在醒目的位置。可使用图1所</w:t>
            </w:r>
            <w:r>
              <w:rPr>
                <w:rFonts w:cs="宋体"/>
                <w:szCs w:val="21"/>
                <w:highlight w:val="none"/>
              </w:rPr>
              <w:t>示</w:t>
            </w:r>
            <w:r>
              <w:rPr>
                <w:rFonts w:hint="eastAsia" w:cs="宋体"/>
                <w:szCs w:val="21"/>
                <w:highlight w:val="none"/>
              </w:rPr>
              <w:t>指令标志和禁止标志。</w:t>
            </w:r>
          </w:p>
          <w:p>
            <w:pPr>
              <w:widowControl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pict>
                <v:shape id="_x0000_i1025" o:spt="75" alt="出入口标志" type="#_x0000_t75" style="height:84.8pt;width:80.4pt;" filled="f" o:preferrelative="t" stroked="f" coordsize="21600,21600">
                  <v:path/>
                  <v:fill on="f" focussize="0,0"/>
                  <v:stroke on="f" joinstyle="miter"/>
                  <v:imagedata r:id="rId4" o:title="出入口标志"/>
                  <o:lock v:ext="edit" aspectratio="t"/>
                  <w10:wrap type="none"/>
                  <w10:anchorlock/>
                </v:shape>
              </w:pic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图1  使用须知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使用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标志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及</w:t>
            </w:r>
          </w:p>
          <w:p>
            <w:pPr>
              <w:spacing w:line="28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注意事项（B）</w:t>
            </w:r>
          </w:p>
        </w:tc>
        <w:tc>
          <w:tcPr>
            <w:tcW w:w="53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电梯使用单位应当在电梯明显位置标明检验标志、维护保养标志、安全提示、警示标志以及服务、投诉电话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目测。</w:t>
            </w:r>
          </w:p>
          <w:p>
            <w:pPr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【补充说明】</w:t>
            </w:r>
          </w:p>
          <w:p>
            <w:pPr>
              <w:spacing w:line="280" w:lineRule="exact"/>
              <w:rPr>
                <w:rFonts w:cs="宋体"/>
                <w:szCs w:val="21"/>
                <w:highlight w:val="none"/>
              </w:rPr>
            </w:pPr>
            <w:r>
              <w:rPr>
                <w:rFonts w:cs="宋体"/>
                <w:szCs w:val="21"/>
                <w:highlight w:val="none"/>
              </w:rPr>
              <w:t>《</w:t>
            </w:r>
            <w:r>
              <w:rPr>
                <w:rFonts w:hint="eastAsia" w:cs="宋体"/>
                <w:szCs w:val="21"/>
                <w:highlight w:val="none"/>
              </w:rPr>
              <w:t>特种设备使用管理规则</w:t>
            </w:r>
            <w:r>
              <w:rPr>
                <w:rFonts w:cs="宋体"/>
                <w:szCs w:val="21"/>
                <w:highlight w:val="none"/>
              </w:rPr>
              <w:t xml:space="preserve">》（TSG </w:t>
            </w:r>
            <w:r>
              <w:rPr>
                <w:rFonts w:hint="eastAsia" w:cs="宋体"/>
                <w:szCs w:val="21"/>
                <w:highlight w:val="none"/>
              </w:rPr>
              <w:t>08</w:t>
            </w:r>
            <w:r>
              <w:rPr>
                <w:rFonts w:cs="宋体"/>
                <w:szCs w:val="21"/>
                <w:highlight w:val="none"/>
              </w:rPr>
              <w:t>-20</w:t>
            </w:r>
            <w:r>
              <w:rPr>
                <w:rFonts w:hint="eastAsia" w:cs="宋体"/>
                <w:szCs w:val="21"/>
                <w:highlight w:val="none"/>
              </w:rPr>
              <w:t>17</w:t>
            </w:r>
            <w:r>
              <w:rPr>
                <w:rFonts w:cs="宋体"/>
                <w:szCs w:val="21"/>
                <w:highlight w:val="none"/>
              </w:rPr>
              <w:t>）</w:t>
            </w:r>
            <w:r>
              <w:rPr>
                <w:rFonts w:hint="eastAsia" w:cs="宋体"/>
                <w:szCs w:val="21"/>
                <w:highlight w:val="none"/>
              </w:rPr>
              <w:t>规定了，《特种设备使用标志》固定在电梯轿厢（或者扶梯、人行道出入口）易于乘客看见的部位</w:t>
            </w:r>
          </w:p>
        </w:tc>
      </w:tr>
    </w:tbl>
    <w:p>
      <w:pPr>
        <w:rPr>
          <w:rFonts w:cs="宋体"/>
          <w:szCs w:val="21"/>
          <w:highlight w:val="none"/>
        </w:rPr>
      </w:pPr>
      <w:r>
        <w:rPr>
          <w:rFonts w:hint="eastAsia"/>
          <w:highlight w:val="none"/>
        </w:rPr>
        <w:t>备注</w:t>
      </w:r>
      <w:r>
        <w:rPr>
          <w:highlight w:val="none"/>
        </w:rPr>
        <w:t>：</w:t>
      </w:r>
      <w:r>
        <w:rPr>
          <w:rFonts w:cs="宋体"/>
          <w:szCs w:val="21"/>
          <w:highlight w:val="none"/>
        </w:rPr>
        <w:t>1</w:t>
      </w:r>
      <w:r>
        <w:rPr>
          <w:rFonts w:hint="eastAsia" w:cs="宋体"/>
          <w:szCs w:val="21"/>
          <w:highlight w:val="none"/>
        </w:rPr>
        <w:t>.第</w:t>
      </w:r>
      <w:r>
        <w:rPr>
          <w:rFonts w:cs="宋体"/>
          <w:szCs w:val="21"/>
          <w:highlight w:val="none"/>
        </w:rPr>
        <w:t>1</w:t>
      </w:r>
      <w:r>
        <w:rPr>
          <w:rFonts w:hint="eastAsia" w:cs="宋体"/>
          <w:szCs w:val="21"/>
          <w:highlight w:val="none"/>
        </w:rPr>
        <w:t>项的项目内容与《特种设备安全法》第三十五条和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第十条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spacing w:line="264" w:lineRule="auto"/>
        <w:ind w:firstLine="630" w:firstLineChars="300"/>
        <w:jc w:val="left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2.第</w:t>
      </w:r>
      <w:r>
        <w:rPr>
          <w:rFonts w:hint="eastAsia" w:cs="宋体"/>
          <w:szCs w:val="21"/>
          <w:highlight w:val="none"/>
        </w:rPr>
        <w:t>4</w:t>
      </w:r>
      <w:r>
        <w:rPr>
          <w:rFonts w:cs="宋体"/>
          <w:szCs w:val="21"/>
          <w:highlight w:val="none"/>
        </w:rPr>
        <w:t>项</w:t>
      </w:r>
      <w:r>
        <w:rPr>
          <w:rFonts w:hint="eastAsia" w:cs="宋体"/>
          <w:szCs w:val="21"/>
          <w:highlight w:val="none"/>
        </w:rPr>
        <w:t>的</w:t>
      </w:r>
      <w:r>
        <w:rPr>
          <w:rFonts w:cs="宋体"/>
          <w:szCs w:val="21"/>
          <w:highlight w:val="none"/>
        </w:rPr>
        <w:t>项目内容与</w:t>
      </w:r>
      <w:r>
        <w:rPr>
          <w:rFonts w:hint="eastAsia" w:cs="宋体"/>
          <w:szCs w:val="21"/>
          <w:highlight w:val="none"/>
        </w:rPr>
        <w:t>《特种设备安全法》第三十四条和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第十一条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spacing w:line="264" w:lineRule="auto"/>
        <w:ind w:firstLine="630" w:firstLineChars="300"/>
        <w:jc w:val="left"/>
        <w:rPr>
          <w:rFonts w:cs="宋体"/>
          <w:szCs w:val="21"/>
          <w:highlight w:val="none"/>
        </w:rPr>
      </w:pPr>
      <w:r>
        <w:rPr>
          <w:rFonts w:cs="宋体"/>
          <w:szCs w:val="21"/>
          <w:highlight w:val="none"/>
        </w:rPr>
        <w:t>3.</w:t>
      </w:r>
      <w:r>
        <w:rPr>
          <w:rFonts w:hint="eastAsia" w:cs="宋体"/>
          <w:szCs w:val="21"/>
          <w:highlight w:val="none"/>
        </w:rPr>
        <w:t>第5、6项的项目内容与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第九条第（二）项和《特种设备使用管理规则》（</w:t>
      </w:r>
      <w:r>
        <w:rPr>
          <w:rFonts w:cs="宋体"/>
          <w:szCs w:val="21"/>
          <w:highlight w:val="none"/>
        </w:rPr>
        <w:t>TSG 08-2017</w:t>
      </w:r>
      <w:r>
        <w:rPr>
          <w:rFonts w:hint="eastAsia" w:cs="宋体"/>
          <w:szCs w:val="21"/>
          <w:highlight w:val="none"/>
        </w:rPr>
        <w:t>）中2</w:t>
      </w:r>
      <w:r>
        <w:rPr>
          <w:rFonts w:cs="宋体"/>
          <w:szCs w:val="21"/>
          <w:highlight w:val="none"/>
        </w:rPr>
        <w:t>.4.2</w:t>
      </w:r>
      <w:r>
        <w:rPr>
          <w:rFonts w:hint="eastAsia" w:cs="宋体"/>
          <w:szCs w:val="21"/>
          <w:highlight w:val="none"/>
        </w:rPr>
        <w:t>相对应；</w:t>
      </w:r>
    </w:p>
    <w:p>
      <w:pPr>
        <w:ind w:firstLine="630" w:firstLineChars="300"/>
        <w:rPr>
          <w:highlight w:val="none"/>
        </w:rPr>
      </w:pPr>
      <w:r>
        <w:rPr>
          <w:rFonts w:hint="eastAsia" w:cs="宋体"/>
          <w:szCs w:val="21"/>
          <w:highlight w:val="none"/>
        </w:rPr>
        <w:t>4</w:t>
      </w:r>
      <w:r>
        <w:rPr>
          <w:rFonts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第7项的项目内容与</w:t>
      </w:r>
      <w:r>
        <w:rPr>
          <w:rFonts w:cs="宋体"/>
          <w:szCs w:val="21"/>
          <w:highlight w:val="none"/>
        </w:rPr>
        <w:t>《</w:t>
      </w:r>
      <w:r>
        <w:rPr>
          <w:rFonts w:hint="eastAsia" w:cs="宋体"/>
          <w:szCs w:val="21"/>
          <w:highlight w:val="none"/>
        </w:rPr>
        <w:t>广东省电梯使用安全条例</w:t>
      </w:r>
      <w:r>
        <w:rPr>
          <w:rFonts w:cs="宋体"/>
          <w:szCs w:val="21"/>
          <w:highlight w:val="none"/>
        </w:rPr>
        <w:t>》</w:t>
      </w:r>
      <w:r>
        <w:rPr>
          <w:rFonts w:hint="eastAsia" w:cs="宋体"/>
          <w:szCs w:val="21"/>
          <w:highlight w:val="none"/>
        </w:rPr>
        <w:t>第九条第（十三）项和《特种设备使用管理规则》（</w:t>
      </w:r>
      <w:r>
        <w:rPr>
          <w:rFonts w:cs="宋体"/>
          <w:szCs w:val="21"/>
          <w:highlight w:val="none"/>
        </w:rPr>
        <w:t>TSG 08-2017</w:t>
      </w:r>
      <w:r>
        <w:rPr>
          <w:rFonts w:hint="eastAsia" w:cs="宋体"/>
          <w:szCs w:val="21"/>
          <w:highlight w:val="none"/>
        </w:rPr>
        <w:t>）中2</w:t>
      </w:r>
      <w:r>
        <w:rPr>
          <w:rFonts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3</w:t>
      </w:r>
      <w:r>
        <w:rPr>
          <w:rFonts w:cs="宋体"/>
          <w:szCs w:val="21"/>
          <w:highlight w:val="none"/>
        </w:rPr>
        <w:t>.2</w:t>
      </w:r>
      <w:r>
        <w:rPr>
          <w:rFonts w:hint="eastAsia" w:cs="宋体"/>
          <w:szCs w:val="21"/>
          <w:highlight w:val="none"/>
        </w:rPr>
        <w:t>注2-3</w:t>
      </w:r>
      <w:r>
        <w:rPr>
          <w:rFonts w:cs="宋体"/>
          <w:szCs w:val="21"/>
          <w:highlight w:val="none"/>
        </w:rPr>
        <w:t>相对应</w:t>
      </w:r>
      <w:r>
        <w:rPr>
          <w:rFonts w:hint="eastAsia" w:cs="宋体"/>
          <w:szCs w:val="21"/>
          <w:highlight w:val="none"/>
        </w:rPr>
        <w:t>；</w:t>
      </w:r>
    </w:p>
    <w:p>
      <w:pPr>
        <w:ind w:firstLine="630" w:firstLineChars="300"/>
        <w:rPr>
          <w:highlight w:val="none"/>
        </w:rPr>
      </w:pPr>
      <w:r>
        <w:rPr>
          <w:rFonts w:hint="eastAsia"/>
          <w:highlight w:val="none"/>
        </w:rPr>
        <w:t>5.第8项项</w:t>
      </w:r>
      <w:r>
        <w:rPr>
          <w:highlight w:val="none"/>
        </w:rPr>
        <w:t>目栏中</w:t>
      </w:r>
      <w:r>
        <w:rPr>
          <w:rFonts w:hint="eastAsia"/>
          <w:highlight w:val="none"/>
        </w:rPr>
        <w:t>数字</w:t>
      </w:r>
      <w:r>
        <w:rPr>
          <w:highlight w:val="none"/>
        </w:rPr>
        <w:t>序号</w:t>
      </w:r>
      <w:r>
        <w:rPr>
          <w:rFonts w:hint="eastAsia"/>
          <w:highlight w:val="none"/>
        </w:rPr>
        <w:t>与《电梯</w:t>
      </w:r>
      <w:r>
        <w:rPr>
          <w:highlight w:val="none"/>
        </w:rPr>
        <w:t>监督检验和</w:t>
      </w:r>
      <w:r>
        <w:rPr>
          <w:rFonts w:hint="eastAsia"/>
          <w:highlight w:val="none"/>
        </w:rPr>
        <w:t>定期</w:t>
      </w:r>
      <w:r>
        <w:rPr>
          <w:highlight w:val="none"/>
        </w:rPr>
        <w:t>检验规则——自动扶梯与自动人行道</w:t>
      </w:r>
      <w:r>
        <w:rPr>
          <w:rFonts w:hint="eastAsia"/>
          <w:highlight w:val="none"/>
        </w:rPr>
        <w:t>》（TSG T7005－2012</w:t>
      </w:r>
      <w:r>
        <w:rPr>
          <w:rFonts w:hint="eastAsia" w:cs="宋体"/>
          <w:szCs w:val="21"/>
          <w:highlight w:val="none"/>
        </w:rPr>
        <w:t>，含第1号、第2号和第3号修改单）</w:t>
      </w:r>
      <w:r>
        <w:rPr>
          <w:rFonts w:hint="eastAsia"/>
          <w:highlight w:val="none"/>
        </w:rPr>
        <w:t>的</w:t>
      </w:r>
      <w:r>
        <w:rPr>
          <w:highlight w:val="none"/>
        </w:rPr>
        <w:t>附件</w:t>
      </w:r>
      <w:r>
        <w:rPr>
          <w:rFonts w:hint="eastAsia"/>
          <w:highlight w:val="none"/>
        </w:rPr>
        <w:t>A的条文</w:t>
      </w:r>
      <w:r>
        <w:rPr>
          <w:highlight w:val="none"/>
        </w:rPr>
        <w:t>序号</w:t>
      </w:r>
      <w:r>
        <w:rPr>
          <w:rFonts w:hint="eastAsia"/>
          <w:highlight w:val="none"/>
        </w:rPr>
        <w:t>一致；</w:t>
      </w:r>
    </w:p>
    <w:p>
      <w:pPr>
        <w:spacing w:line="288" w:lineRule="auto"/>
        <w:rPr>
          <w:highlight w:val="none"/>
        </w:rPr>
      </w:pPr>
      <w:r>
        <w:rPr>
          <w:rFonts w:hint="eastAsia"/>
          <w:highlight w:val="none"/>
        </w:rPr>
        <w:t xml:space="preserve">      6.第9项的项目内容与《深圳经济特区特种设备安全条例》第二十四条第（四）项和</w:t>
      </w:r>
      <w:r>
        <w:rPr>
          <w:rFonts w:hint="eastAsia" w:cs="宋体"/>
          <w:szCs w:val="21"/>
          <w:highlight w:val="none"/>
        </w:rPr>
        <w:t>《广东省电梯使用安全条例》第九条第（四）项</w:t>
      </w:r>
      <w:r>
        <w:rPr>
          <w:rFonts w:hint="eastAsia"/>
          <w:highlight w:val="none"/>
        </w:rPr>
        <w:t>相对应；</w:t>
      </w:r>
    </w:p>
    <w:p>
      <w:pPr>
        <w:ind w:firstLine="630" w:firstLineChars="300"/>
        <w:rPr>
          <w:highlight w:val="none"/>
        </w:rPr>
      </w:pPr>
      <w:r>
        <w:rPr>
          <w:highlight w:val="none"/>
        </w:rPr>
        <w:t>7.</w:t>
      </w:r>
      <w:r>
        <w:rPr>
          <w:rFonts w:hint="eastAsia"/>
          <w:highlight w:val="none"/>
        </w:rPr>
        <w:t>带◇项目（第2、3项）为统计项目，不作符合性判定；当存在该类项目不合格（缺少资料）时，应通过《监督抽查初步结果通知书》告知受检单位尽量补齐，并叮嘱企业长期保存。</w:t>
      </w:r>
    </w:p>
    <w:p>
      <w:pPr>
        <w:spacing w:line="288" w:lineRule="auto"/>
        <w:rPr>
          <w:rFonts w:cs="宋体"/>
          <w:szCs w:val="21"/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3D6339"/>
    <w:multiLevelType w:val="multilevel"/>
    <w:tmpl w:val="723D6339"/>
    <w:lvl w:ilvl="0" w:tentative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954886"/>
    <w:rsid w:val="000061ED"/>
    <w:rsid w:val="00043E5F"/>
    <w:rsid w:val="0004453C"/>
    <w:rsid w:val="000A2429"/>
    <w:rsid w:val="000C18B1"/>
    <w:rsid w:val="000C2172"/>
    <w:rsid w:val="000E0B06"/>
    <w:rsid w:val="001124FF"/>
    <w:rsid w:val="00120B54"/>
    <w:rsid w:val="00124675"/>
    <w:rsid w:val="00132DD9"/>
    <w:rsid w:val="001331C1"/>
    <w:rsid w:val="00172282"/>
    <w:rsid w:val="0018249A"/>
    <w:rsid w:val="001964F1"/>
    <w:rsid w:val="001A6151"/>
    <w:rsid w:val="001A7FAB"/>
    <w:rsid w:val="001D2418"/>
    <w:rsid w:val="00206DD9"/>
    <w:rsid w:val="00334634"/>
    <w:rsid w:val="00393CFF"/>
    <w:rsid w:val="003C3FA7"/>
    <w:rsid w:val="00430A86"/>
    <w:rsid w:val="00433DE5"/>
    <w:rsid w:val="00436D81"/>
    <w:rsid w:val="00445621"/>
    <w:rsid w:val="00455673"/>
    <w:rsid w:val="004948FC"/>
    <w:rsid w:val="004C7917"/>
    <w:rsid w:val="00503993"/>
    <w:rsid w:val="0052152E"/>
    <w:rsid w:val="00533024"/>
    <w:rsid w:val="00567CBA"/>
    <w:rsid w:val="00592FDF"/>
    <w:rsid w:val="005939DC"/>
    <w:rsid w:val="005A3861"/>
    <w:rsid w:val="005A5D15"/>
    <w:rsid w:val="005A7605"/>
    <w:rsid w:val="005B6E29"/>
    <w:rsid w:val="005D63E7"/>
    <w:rsid w:val="006034AA"/>
    <w:rsid w:val="00604918"/>
    <w:rsid w:val="00624C85"/>
    <w:rsid w:val="00630D28"/>
    <w:rsid w:val="00643A3B"/>
    <w:rsid w:val="006600E3"/>
    <w:rsid w:val="00660425"/>
    <w:rsid w:val="006763E8"/>
    <w:rsid w:val="00685E9F"/>
    <w:rsid w:val="00687E8D"/>
    <w:rsid w:val="006A7676"/>
    <w:rsid w:val="006C55DD"/>
    <w:rsid w:val="006D1364"/>
    <w:rsid w:val="006F42F3"/>
    <w:rsid w:val="00702D90"/>
    <w:rsid w:val="00723BC2"/>
    <w:rsid w:val="00756FF8"/>
    <w:rsid w:val="00770001"/>
    <w:rsid w:val="00790E6B"/>
    <w:rsid w:val="007A02BA"/>
    <w:rsid w:val="007A1648"/>
    <w:rsid w:val="008024B9"/>
    <w:rsid w:val="008252F3"/>
    <w:rsid w:val="00833669"/>
    <w:rsid w:val="00863DAC"/>
    <w:rsid w:val="008772B6"/>
    <w:rsid w:val="008C38F9"/>
    <w:rsid w:val="008C3B43"/>
    <w:rsid w:val="008C5399"/>
    <w:rsid w:val="008C7613"/>
    <w:rsid w:val="008D5A26"/>
    <w:rsid w:val="00936CC2"/>
    <w:rsid w:val="00954886"/>
    <w:rsid w:val="0095752C"/>
    <w:rsid w:val="00973AE8"/>
    <w:rsid w:val="00987C81"/>
    <w:rsid w:val="0099269D"/>
    <w:rsid w:val="009A1B87"/>
    <w:rsid w:val="009B6CAD"/>
    <w:rsid w:val="009D5D77"/>
    <w:rsid w:val="009E34AC"/>
    <w:rsid w:val="00A044BC"/>
    <w:rsid w:val="00A13DAE"/>
    <w:rsid w:val="00A24D4C"/>
    <w:rsid w:val="00A539A7"/>
    <w:rsid w:val="00A61304"/>
    <w:rsid w:val="00A87D8A"/>
    <w:rsid w:val="00AA4A79"/>
    <w:rsid w:val="00AB11FA"/>
    <w:rsid w:val="00AB339B"/>
    <w:rsid w:val="00AF401A"/>
    <w:rsid w:val="00AF56E2"/>
    <w:rsid w:val="00B22FA7"/>
    <w:rsid w:val="00B74BB7"/>
    <w:rsid w:val="00B7521E"/>
    <w:rsid w:val="00B91F3D"/>
    <w:rsid w:val="00BB49FF"/>
    <w:rsid w:val="00BD67F5"/>
    <w:rsid w:val="00BE33C9"/>
    <w:rsid w:val="00C169A4"/>
    <w:rsid w:val="00C27FE7"/>
    <w:rsid w:val="00C50AC1"/>
    <w:rsid w:val="00C628F7"/>
    <w:rsid w:val="00C92E62"/>
    <w:rsid w:val="00CA16D2"/>
    <w:rsid w:val="00CB7FC5"/>
    <w:rsid w:val="00D51D16"/>
    <w:rsid w:val="00D81409"/>
    <w:rsid w:val="00DA4281"/>
    <w:rsid w:val="00DB4B7B"/>
    <w:rsid w:val="00E03729"/>
    <w:rsid w:val="00E11B74"/>
    <w:rsid w:val="00E1735B"/>
    <w:rsid w:val="00E3238C"/>
    <w:rsid w:val="00E60F99"/>
    <w:rsid w:val="00E7175F"/>
    <w:rsid w:val="00E71F92"/>
    <w:rsid w:val="00E865E1"/>
    <w:rsid w:val="00EA3FB9"/>
    <w:rsid w:val="00EB67A8"/>
    <w:rsid w:val="00EC7F9D"/>
    <w:rsid w:val="00EE1918"/>
    <w:rsid w:val="00EE5AC9"/>
    <w:rsid w:val="00F205ED"/>
    <w:rsid w:val="00F42723"/>
    <w:rsid w:val="00F72273"/>
    <w:rsid w:val="00F8667C"/>
    <w:rsid w:val="00F90B88"/>
    <w:rsid w:val="00FA4C06"/>
    <w:rsid w:val="00FC14DF"/>
    <w:rsid w:val="00FD7288"/>
    <w:rsid w:val="00FE66B5"/>
    <w:rsid w:val="01C86854"/>
    <w:rsid w:val="021F3399"/>
    <w:rsid w:val="02545B32"/>
    <w:rsid w:val="042F397F"/>
    <w:rsid w:val="06476A01"/>
    <w:rsid w:val="07A868C9"/>
    <w:rsid w:val="07F5670E"/>
    <w:rsid w:val="0A566B34"/>
    <w:rsid w:val="0C861B52"/>
    <w:rsid w:val="0C9E61E0"/>
    <w:rsid w:val="11F05233"/>
    <w:rsid w:val="11F4477A"/>
    <w:rsid w:val="14522D8A"/>
    <w:rsid w:val="14B2294F"/>
    <w:rsid w:val="154C5D04"/>
    <w:rsid w:val="18941503"/>
    <w:rsid w:val="193A26B7"/>
    <w:rsid w:val="1B8D1738"/>
    <w:rsid w:val="1E6C6AA8"/>
    <w:rsid w:val="1F987241"/>
    <w:rsid w:val="201F5DFE"/>
    <w:rsid w:val="277E1CD6"/>
    <w:rsid w:val="28F11A34"/>
    <w:rsid w:val="2DB276A8"/>
    <w:rsid w:val="2FD3444F"/>
    <w:rsid w:val="35E54AC5"/>
    <w:rsid w:val="38BD33F9"/>
    <w:rsid w:val="3DF321E6"/>
    <w:rsid w:val="3E4A1A51"/>
    <w:rsid w:val="3EF62069"/>
    <w:rsid w:val="40223E59"/>
    <w:rsid w:val="409430E6"/>
    <w:rsid w:val="419214B6"/>
    <w:rsid w:val="42394D1F"/>
    <w:rsid w:val="494C0332"/>
    <w:rsid w:val="49546310"/>
    <w:rsid w:val="4DF73A54"/>
    <w:rsid w:val="4EE47C09"/>
    <w:rsid w:val="53C310B7"/>
    <w:rsid w:val="56A9121A"/>
    <w:rsid w:val="56EC4613"/>
    <w:rsid w:val="57702A39"/>
    <w:rsid w:val="580E4714"/>
    <w:rsid w:val="5BDB7208"/>
    <w:rsid w:val="5E7A0A5F"/>
    <w:rsid w:val="614525C5"/>
    <w:rsid w:val="626674E3"/>
    <w:rsid w:val="6A1F6E45"/>
    <w:rsid w:val="6AC06252"/>
    <w:rsid w:val="6B2A41BE"/>
    <w:rsid w:val="6CCA58A7"/>
    <w:rsid w:val="6CE339A0"/>
    <w:rsid w:val="6D96412B"/>
    <w:rsid w:val="6DC673C8"/>
    <w:rsid w:val="707308F2"/>
    <w:rsid w:val="775F46DE"/>
    <w:rsid w:val="79C53ABE"/>
    <w:rsid w:val="7B6B41B9"/>
    <w:rsid w:val="7C2A3EFC"/>
    <w:rsid w:val="7CEB1FB8"/>
    <w:rsid w:val="7D3B2597"/>
    <w:rsid w:val="7DCF676D"/>
    <w:rsid w:val="BACA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2"/>
    <w:qFormat/>
    <w:uiPriority w:val="9"/>
    <w:pPr>
      <w:spacing w:before="340" w:after="330"/>
    </w:pPr>
    <w:rPr>
      <w:rFonts w:eastAsia="方正小标宋简体"/>
      <w:b w:val="0"/>
      <w:bCs w:val="0"/>
      <w:kern w:val="0"/>
      <w:sz w:val="44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Cs w:val="32"/>
    </w:r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Subtitle"/>
    <w:basedOn w:val="2"/>
    <w:next w:val="4"/>
    <w:link w:val="15"/>
    <w:qFormat/>
    <w:uiPriority w:val="11"/>
    <w:pPr>
      <w:spacing w:before="0" w:after="0" w:line="560" w:lineRule="exact"/>
      <w:ind w:firstLine="200" w:firstLineChars="200"/>
      <w:jc w:val="left"/>
      <w:outlineLvl w:val="1"/>
    </w:pPr>
    <w:rPr>
      <w:rFonts w:eastAsia="黑体"/>
      <w:bCs/>
      <w:color w:val="000000" w:themeColor="text1"/>
      <w:szCs w:val="32"/>
    </w:rPr>
  </w:style>
  <w:style w:type="paragraph" w:styleId="9">
    <w:name w:val="Body Text Indent 3"/>
    <w:basedOn w:val="1"/>
    <w:link w:val="19"/>
    <w:unhideWhenUsed/>
    <w:qFormat/>
    <w:uiPriority w:val="0"/>
    <w:pPr>
      <w:spacing w:line="360" w:lineRule="atLeast"/>
      <w:ind w:firstLine="480" w:firstLineChars="200"/>
      <w:jc w:val="left"/>
    </w:pPr>
    <w:rPr>
      <w:rFonts w:ascii="仿宋_GB2312" w:hAnsi="Times New Roman" w:eastAsia="仿宋_GB2312"/>
      <w:sz w:val="24"/>
      <w:szCs w:val="20"/>
    </w:rPr>
  </w:style>
  <w:style w:type="character" w:customStyle="1" w:styleId="12">
    <w:name w:val="标题 1 Char"/>
    <w:basedOn w:val="11"/>
    <w:link w:val="2"/>
    <w:qFormat/>
    <w:uiPriority w:val="9"/>
    <w:rPr>
      <w:color w:val="auto"/>
      <w:kern w:val="0"/>
    </w:rPr>
  </w:style>
  <w:style w:type="character" w:customStyle="1" w:styleId="13">
    <w:name w:val="标题 2 Ch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Char"/>
    <w:basedOn w:val="11"/>
    <w:link w:val="3"/>
    <w:qFormat/>
    <w:uiPriority w:val="10"/>
    <w:rPr>
      <w:rFonts w:eastAsia="宋体" w:asciiTheme="majorHAnsi" w:hAnsiTheme="majorHAnsi" w:cstheme="majorBidi"/>
      <w:b/>
      <w:bCs/>
      <w:szCs w:val="32"/>
    </w:rPr>
  </w:style>
  <w:style w:type="character" w:customStyle="1" w:styleId="15">
    <w:name w:val="副标题 Char"/>
    <w:basedOn w:val="11"/>
    <w:link w:val="8"/>
    <w:qFormat/>
    <w:uiPriority w:val="11"/>
    <w:rPr>
      <w:rFonts w:eastAsia="黑体" w:asciiTheme="majorHAnsi" w:hAnsiTheme="majorHAnsi" w:cstheme="majorBidi"/>
      <w:bCs/>
      <w:color w:val="000000" w:themeColor="text1"/>
      <w:kern w:val="0"/>
      <w:szCs w:val="32"/>
    </w:rPr>
  </w:style>
  <w:style w:type="paragraph" w:customStyle="1" w:styleId="16">
    <w:name w:val="二级标题"/>
    <w:basedOn w:val="4"/>
    <w:next w:val="1"/>
    <w:qFormat/>
    <w:uiPriority w:val="0"/>
    <w:pPr>
      <w:spacing w:before="0" w:after="0" w:line="560" w:lineRule="exact"/>
    </w:pPr>
    <w:rPr>
      <w:rFonts w:eastAsia="楷体_GB2312"/>
      <w:b w:val="0"/>
    </w:rPr>
  </w:style>
  <w:style w:type="character" w:customStyle="1" w:styleId="17">
    <w:name w:val="页眉 Char"/>
    <w:basedOn w:val="11"/>
    <w:link w:val="7"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9">
    <w:name w:val="正文文本缩进 3 Char"/>
    <w:basedOn w:val="11"/>
    <w:link w:val="9"/>
    <w:qFormat/>
    <w:uiPriority w:val="0"/>
    <w:rPr>
      <w:rFonts w:ascii="仿宋_GB2312" w:hAnsi="Times New Roman" w:eastAsia="仿宋_GB2312" w:cs="Times New Roman"/>
      <w:color w:val="auto"/>
      <w:kern w:val="2"/>
      <w:sz w:val="24"/>
      <w:szCs w:val="20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1">
    <w:name w:val="批注框文本 Char"/>
    <w:basedOn w:val="11"/>
    <w:link w:val="5"/>
    <w:semiHidden/>
    <w:qFormat/>
    <w:uiPriority w:val="99"/>
    <w:rPr>
      <w:rFonts w:ascii="宋体" w:hAnsi="宋体" w:eastAsia="宋体" w:cs="Times New Roman"/>
      <w:color w:val="auto"/>
      <w:kern w:val="2"/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1032</Words>
  <Characters>5887</Characters>
  <Lines>49</Lines>
  <Paragraphs>13</Paragraphs>
  <TotalTime>1</TotalTime>
  <ScaleCrop>false</ScaleCrop>
  <LinksUpToDate>false</LinksUpToDate>
  <CharactersWithSpaces>6906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2016-04-18T11:20:00Z</dcterms:created>
  <dc:creator>徐振</dc:creator>
  <cp:lastModifiedBy>lixiang</cp:lastModifiedBy>
  <dcterms:modified xsi:type="dcterms:W3CDTF">2022-04-19T19:37:28Z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