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40"/>
        </w:rPr>
        <w:t>附件</w:t>
      </w:r>
      <w:r>
        <w:rPr>
          <w:rFonts w:hint="eastAsia" w:ascii="仿宋_GB2312" w:hAnsi="仿宋_GB2312" w:eastAsia="仿宋_GB2312" w:cs="仿宋_GB2312"/>
          <w:sz w:val="32"/>
          <w:szCs w:val="40"/>
          <w:lang w:val="en-US" w:eastAsia="zh-CN"/>
        </w:rPr>
        <w:t>1</w:t>
      </w:r>
    </w:p>
    <w:p>
      <w:pPr>
        <w:rPr>
          <w:rFonts w:hint="eastAsia" w:ascii="仿宋_GB2312" w:hAnsi="仿宋_GB2312" w:eastAsia="仿宋_GB2312" w:cs="仿宋_GB2312"/>
          <w:sz w:val="32"/>
          <w:szCs w:val="40"/>
        </w:rPr>
      </w:pPr>
      <w:bookmarkStart w:id="0" w:name="_GoBack"/>
      <w:bookmarkEnd w:id="0"/>
    </w:p>
    <w:p>
      <w:pPr>
        <w:pStyle w:val="2"/>
        <w:spacing w:before="100" w:after="90"/>
        <w:ind w:firstLine="0" w:firstLineChars="0"/>
        <w:rPr>
          <w:rFonts w:hint="eastAsia" w:ascii="宋体" w:hAnsi="宋体" w:eastAsia="宋体" w:cs="宋体"/>
          <w:b/>
          <w:bCs/>
        </w:rPr>
      </w:pPr>
      <w:r>
        <w:rPr>
          <w:rFonts w:hint="eastAsia" w:ascii="宋体" w:hAnsi="宋体" w:eastAsia="宋体" w:cs="宋体"/>
          <w:b/>
          <w:bCs/>
        </w:rPr>
        <w:t>深圳市202</w:t>
      </w:r>
      <w:r>
        <w:rPr>
          <w:rFonts w:hint="eastAsia" w:ascii="宋体" w:hAnsi="宋体" w:eastAsia="宋体" w:cs="宋体"/>
          <w:b/>
          <w:bCs/>
          <w:color w:val="auto"/>
          <w:lang w:val="en-US" w:eastAsia="zh-CN"/>
        </w:rPr>
        <w:t>4</w:t>
      </w:r>
      <w:r>
        <w:rPr>
          <w:rFonts w:hint="eastAsia" w:ascii="宋体" w:hAnsi="宋体" w:eastAsia="宋体" w:cs="宋体"/>
          <w:b/>
          <w:bCs/>
        </w:rPr>
        <w:t>年</w:t>
      </w:r>
      <w:r>
        <w:rPr>
          <w:rFonts w:hint="eastAsia" w:ascii="宋体" w:hAnsi="宋体" w:eastAsia="宋体" w:cs="宋体"/>
          <w:b/>
          <w:bCs/>
          <w:lang w:val="en-US" w:eastAsia="zh-CN"/>
        </w:rPr>
        <w:t>叉车维保质量及使用安全状况抽查</w:t>
      </w:r>
      <w:r>
        <w:rPr>
          <w:rFonts w:hint="eastAsia" w:ascii="宋体" w:hAnsi="宋体" w:eastAsia="宋体" w:cs="宋体"/>
          <w:b/>
          <w:bCs/>
        </w:rPr>
        <w:t>项目</w:t>
      </w:r>
    </w:p>
    <w:p>
      <w:pPr>
        <w:pStyle w:val="24"/>
        <w:numPr>
          <w:ilvl w:val="0"/>
          <w:numId w:val="1"/>
        </w:numPr>
        <w:ind w:firstLineChars="0"/>
        <w:rPr>
          <w:rFonts w:cs="宋体"/>
          <w:szCs w:val="21"/>
        </w:rPr>
      </w:pPr>
      <w:r>
        <w:rPr>
          <w:rFonts w:hint="eastAsia" w:cs="宋体"/>
          <w:szCs w:val="21"/>
          <w:lang w:eastAsia="zh-CN"/>
        </w:rPr>
        <w:t>叉车</w:t>
      </w:r>
      <w:r>
        <w:rPr>
          <w:rFonts w:hint="eastAsia" w:cs="宋体"/>
          <w:szCs w:val="21"/>
        </w:rPr>
        <w:t>抽查项目</w:t>
      </w:r>
    </w:p>
    <w:p>
      <w:pPr>
        <w:pStyle w:val="24"/>
        <w:ind w:left="840" w:firstLine="0" w:firstLineChars="0"/>
        <w:rPr>
          <w:rFonts w:cs="宋体"/>
          <w:szCs w:val="21"/>
        </w:rPr>
      </w:pPr>
    </w:p>
    <w:tbl>
      <w:tblPr>
        <w:tblStyle w:val="12"/>
        <w:tblW w:w="13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458"/>
        <w:gridCol w:w="5225"/>
        <w:gridCol w:w="6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trPr>
        <w:tc>
          <w:tcPr>
            <w:tcW w:w="560" w:type="dxa"/>
            <w:shd w:val="clear" w:color="auto" w:fill="auto"/>
            <w:vAlign w:val="center"/>
          </w:tcPr>
          <w:p>
            <w:pPr>
              <w:jc w:val="center"/>
              <w:rPr>
                <w:rFonts w:cs="宋体"/>
                <w:szCs w:val="21"/>
              </w:rPr>
            </w:pPr>
            <w:r>
              <w:rPr>
                <w:rFonts w:hint="eastAsia" w:cs="宋体"/>
                <w:szCs w:val="21"/>
              </w:rPr>
              <w:t>序号</w:t>
            </w:r>
          </w:p>
        </w:tc>
        <w:tc>
          <w:tcPr>
            <w:tcW w:w="1458" w:type="dxa"/>
            <w:shd w:val="clear" w:color="auto" w:fill="auto"/>
            <w:vAlign w:val="center"/>
          </w:tcPr>
          <w:p>
            <w:pPr>
              <w:jc w:val="center"/>
              <w:rPr>
                <w:rFonts w:cs="宋体"/>
                <w:szCs w:val="21"/>
              </w:rPr>
            </w:pPr>
            <w:r>
              <w:rPr>
                <w:rFonts w:hint="eastAsia" w:cs="宋体"/>
                <w:szCs w:val="21"/>
              </w:rPr>
              <w:t>项目</w:t>
            </w:r>
          </w:p>
        </w:tc>
        <w:tc>
          <w:tcPr>
            <w:tcW w:w="5225" w:type="dxa"/>
            <w:shd w:val="clear" w:color="auto" w:fill="auto"/>
            <w:vAlign w:val="center"/>
          </w:tcPr>
          <w:p>
            <w:pPr>
              <w:jc w:val="center"/>
              <w:rPr>
                <w:rFonts w:cs="宋体"/>
                <w:szCs w:val="21"/>
              </w:rPr>
            </w:pPr>
            <w:r>
              <w:rPr>
                <w:rFonts w:hint="eastAsia" w:cs="宋体"/>
                <w:szCs w:val="21"/>
              </w:rPr>
              <w:t>检验内容与要求</w:t>
            </w:r>
          </w:p>
        </w:tc>
        <w:tc>
          <w:tcPr>
            <w:tcW w:w="6358" w:type="dxa"/>
            <w:shd w:val="clear" w:color="auto" w:fill="auto"/>
            <w:vAlign w:val="center"/>
          </w:tcPr>
          <w:p>
            <w:pPr>
              <w:jc w:val="center"/>
              <w:rPr>
                <w:rFonts w:cs="宋体"/>
                <w:szCs w:val="21"/>
              </w:rPr>
            </w:pPr>
            <w:r>
              <w:rPr>
                <w:rFonts w:hint="eastAsia" w:cs="宋体"/>
                <w:b w:val="0"/>
                <w:bCs w:val="0"/>
                <w:color w:val="auto"/>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0" w:type="dxa"/>
            <w:shd w:val="clear" w:color="auto" w:fill="auto"/>
            <w:vAlign w:val="center"/>
          </w:tcPr>
          <w:p>
            <w:pPr>
              <w:spacing w:line="300" w:lineRule="exact"/>
              <w:jc w:val="center"/>
              <w:rPr>
                <w:rFonts w:ascii="宋体" w:hAnsi="宋体" w:eastAsia="宋体" w:cs="Times New Roman"/>
                <w:bCs/>
                <w:color w:val="000000"/>
                <w:kern w:val="2"/>
                <w:sz w:val="21"/>
                <w:szCs w:val="21"/>
                <w:lang w:val="en-US" w:eastAsia="zh-CN" w:bidi="ar-SA"/>
              </w:rPr>
            </w:pPr>
            <w:r>
              <w:rPr>
                <w:rFonts w:hint="eastAsia" w:ascii="宋体" w:hAnsi="宋体"/>
                <w:bCs/>
                <w:color w:val="000000"/>
                <w:szCs w:val="21"/>
              </w:rPr>
              <w:t>1</w:t>
            </w:r>
          </w:p>
        </w:tc>
        <w:tc>
          <w:tcPr>
            <w:tcW w:w="1458" w:type="dxa"/>
            <w:shd w:val="clear" w:color="auto" w:fill="auto"/>
            <w:vAlign w:val="center"/>
          </w:tcPr>
          <w:p>
            <w:pPr>
              <w:pStyle w:val="26"/>
              <w:ind w:left="2" w:leftChars="0"/>
              <w:jc w:val="center"/>
              <w:rPr>
                <w:rFonts w:hint="eastAsia" w:ascii="Times New Roman" w:hAnsi="Times New Roman" w:cs="Times New Roman"/>
                <w:sz w:val="20"/>
                <w:szCs w:val="22"/>
                <w:lang w:val="en-US" w:eastAsia="zh-CN" w:bidi="zh-CN"/>
              </w:rPr>
            </w:pPr>
            <w:r>
              <w:rPr>
                <w:rFonts w:hint="eastAsia" w:ascii="宋体" w:hAnsi="宋体"/>
                <w:color w:val="auto"/>
                <w:kern w:val="0"/>
                <w:sz w:val="20"/>
                <w:szCs w:val="20"/>
              </w:rPr>
              <w:t>特种设备作业人员证</w:t>
            </w:r>
          </w:p>
          <w:p>
            <w:pPr>
              <w:pStyle w:val="26"/>
              <w:ind w:left="2" w:leftChars="0"/>
              <w:jc w:val="center"/>
              <w:rPr>
                <w:rFonts w:ascii="宋体" w:hAnsi="宋体" w:eastAsia="宋体" w:cs="Times New Roman"/>
                <w:color w:val="000000"/>
                <w:kern w:val="0"/>
                <w:sz w:val="21"/>
                <w:szCs w:val="21"/>
                <w:lang w:val="en-US" w:eastAsia="zh-CN" w:bidi="ar-SA"/>
              </w:rPr>
            </w:pPr>
            <w:r>
              <w:rPr>
                <w:rFonts w:hint="eastAsia" w:ascii="Times New Roman" w:hAnsi="Times New Roman" w:eastAsia="宋体" w:cs="Times New Roman"/>
                <w:b/>
                <w:bCs/>
                <w:sz w:val="20"/>
                <w:szCs w:val="22"/>
                <w:lang w:val="zh-CN" w:eastAsia="zh-CN" w:bidi="zh-CN"/>
              </w:rPr>
              <w:t>（统计项）</w:t>
            </w:r>
          </w:p>
        </w:tc>
        <w:tc>
          <w:tcPr>
            <w:tcW w:w="5225" w:type="dxa"/>
            <w:shd w:val="clear" w:color="auto" w:fill="auto"/>
            <w:vAlign w:val="center"/>
          </w:tcPr>
          <w:p>
            <w:pPr>
              <w:pStyle w:val="26"/>
              <w:spacing w:before="10" w:line="250" w:lineRule="atLeast"/>
              <w:ind w:right="70" w:rightChars="0"/>
              <w:rPr>
                <w:rFonts w:ascii="宋体" w:hAnsi="宋体" w:eastAsia="宋体" w:cs="Times New Roman"/>
                <w:color w:val="000000"/>
                <w:kern w:val="0"/>
                <w:sz w:val="21"/>
                <w:szCs w:val="21"/>
                <w:lang w:val="en-US" w:eastAsia="zh-CN" w:bidi="ar-SA"/>
              </w:rPr>
            </w:pPr>
            <w:r>
              <w:rPr>
                <w:rFonts w:hint="eastAsia" w:ascii="宋体" w:hAnsi="宋体"/>
                <w:color w:val="auto"/>
                <w:kern w:val="0"/>
                <w:sz w:val="20"/>
                <w:szCs w:val="20"/>
                <w:highlight w:val="none"/>
              </w:rPr>
              <w:t>配备具</w:t>
            </w:r>
            <w:r>
              <w:rPr>
                <w:rFonts w:hint="eastAsia" w:ascii="宋体" w:hAnsi="宋体"/>
                <w:color w:val="auto"/>
                <w:kern w:val="0"/>
                <w:sz w:val="20"/>
                <w:szCs w:val="20"/>
                <w:highlight w:val="none"/>
                <w:lang w:eastAsia="zh-CN"/>
              </w:rPr>
              <w:t>有</w:t>
            </w:r>
            <w:r>
              <w:rPr>
                <w:rFonts w:hint="eastAsia" w:ascii="宋体" w:hAnsi="宋体"/>
                <w:color w:val="auto"/>
                <w:kern w:val="0"/>
                <w:sz w:val="20"/>
                <w:szCs w:val="20"/>
                <w:highlight w:val="none"/>
              </w:rPr>
              <w:t>相应资格的特种设备作业人员</w:t>
            </w:r>
          </w:p>
        </w:tc>
        <w:tc>
          <w:tcPr>
            <w:tcW w:w="6358" w:type="dxa"/>
            <w:shd w:val="clear" w:color="auto" w:fill="auto"/>
            <w:vAlign w:val="center"/>
          </w:tcPr>
          <w:p>
            <w:pPr>
              <w:spacing w:line="280" w:lineRule="exact"/>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检查配合人员和使用单位聘用人员相应资格的特种设备作业人员证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0" w:type="dxa"/>
            <w:shd w:val="clear" w:color="auto" w:fill="auto"/>
            <w:vAlign w:val="center"/>
          </w:tcPr>
          <w:p>
            <w:pPr>
              <w:jc w:val="center"/>
              <w:rPr>
                <w:rFonts w:ascii="宋体" w:hAnsi="宋体" w:eastAsia="宋体" w:cs="Times New Roman"/>
                <w:color w:val="000000"/>
                <w:kern w:val="2"/>
                <w:sz w:val="21"/>
                <w:szCs w:val="21"/>
                <w:lang w:val="en-US" w:eastAsia="zh-CN" w:bidi="ar-SA"/>
              </w:rPr>
            </w:pPr>
            <w:r>
              <w:rPr>
                <w:rFonts w:hint="eastAsia" w:ascii="宋体" w:hAnsi="宋体"/>
                <w:color w:val="000000"/>
                <w:szCs w:val="21"/>
              </w:rPr>
              <w:t>2</w:t>
            </w:r>
          </w:p>
        </w:tc>
        <w:tc>
          <w:tcPr>
            <w:tcW w:w="1458" w:type="dxa"/>
            <w:shd w:val="clear" w:color="auto" w:fill="auto"/>
            <w:vAlign w:val="center"/>
          </w:tcPr>
          <w:p>
            <w:pPr>
              <w:jc w:val="center"/>
              <w:rPr>
                <w:rFonts w:hint="eastAsia" w:ascii="Times New Roman" w:hAnsi="Times New Roman" w:eastAsia="宋体" w:cs="Times New Roman"/>
                <w:sz w:val="20"/>
                <w:szCs w:val="22"/>
                <w:lang w:val="zh-CN" w:eastAsia="zh-CN" w:bidi="zh-CN"/>
              </w:rPr>
            </w:pPr>
            <w:r>
              <w:rPr>
                <w:rFonts w:hint="eastAsia" w:ascii="Times New Roman" w:hAnsi="Times New Roman" w:eastAsia="宋体" w:cs="Times New Roman"/>
                <w:sz w:val="20"/>
                <w:szCs w:val="22"/>
                <w:lang w:val="zh-CN" w:eastAsia="zh-CN" w:bidi="zh-CN"/>
              </w:rPr>
              <w:t>培训考核</w:t>
            </w:r>
          </w:p>
          <w:p>
            <w:pPr>
              <w:jc w:val="center"/>
              <w:rPr>
                <w:rFonts w:ascii="宋体" w:hAnsi="宋体" w:eastAsia="宋体" w:cs="Times New Roman"/>
                <w:color w:val="000000"/>
                <w:kern w:val="0"/>
                <w:sz w:val="21"/>
                <w:szCs w:val="21"/>
                <w:lang w:val="en-US" w:eastAsia="zh-CN" w:bidi="ar-SA"/>
              </w:rPr>
            </w:pPr>
            <w:r>
              <w:rPr>
                <w:rFonts w:hint="eastAsia" w:ascii="Times New Roman" w:hAnsi="Times New Roman" w:eastAsia="宋体" w:cs="Times New Roman"/>
                <w:b/>
                <w:bCs/>
                <w:sz w:val="20"/>
                <w:szCs w:val="22"/>
                <w:lang w:val="zh-CN" w:eastAsia="zh-CN" w:bidi="zh-CN"/>
              </w:rPr>
              <w:t>（统计项）</w:t>
            </w:r>
          </w:p>
        </w:tc>
        <w:tc>
          <w:tcPr>
            <w:tcW w:w="5225" w:type="dxa"/>
            <w:shd w:val="clear" w:color="auto" w:fill="auto"/>
            <w:vAlign w:val="center"/>
          </w:tcPr>
          <w:p>
            <w:pPr>
              <w:jc w:val="left"/>
              <w:rPr>
                <w:rFonts w:hint="eastAsia" w:eastAsia="宋体"/>
                <w:lang w:val="en-US" w:eastAsia="zh-CN"/>
              </w:rPr>
            </w:pPr>
            <w:r>
              <w:rPr>
                <w:rFonts w:hint="eastAsia" w:ascii="Times New Roman" w:hAnsi="Times New Roman" w:eastAsia="宋体" w:cs="Times New Roman"/>
                <w:sz w:val="20"/>
                <w:szCs w:val="22"/>
                <w:highlight w:val="none"/>
                <w:lang w:val="zh-CN" w:eastAsia="zh-CN" w:bidi="zh-CN"/>
              </w:rPr>
              <w:t>有特种设备作业人员培训考核记录</w:t>
            </w:r>
          </w:p>
        </w:tc>
        <w:tc>
          <w:tcPr>
            <w:tcW w:w="6358" w:type="dxa"/>
            <w:shd w:val="clear" w:color="auto" w:fill="auto"/>
            <w:vAlign w:val="center"/>
          </w:tcPr>
          <w:p>
            <w:pPr>
              <w:spacing w:line="440" w:lineRule="exact"/>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检验最近一次的特种设备作业人员培训考核记录（含线上培训、考核记录等均视为符合要求）</w:t>
            </w:r>
          </w:p>
          <w:p>
            <w:pPr>
              <w:rPr>
                <w:rFonts w:hint="eastAsia" w:ascii="宋体" w:hAnsi="宋体" w:eastAsia="宋体" w:cs="Times New Roman"/>
                <w:color w:val="auto"/>
                <w:kern w:val="0"/>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0" w:type="dxa"/>
            <w:shd w:val="clear" w:color="auto" w:fill="auto"/>
            <w:vAlign w:val="center"/>
          </w:tcPr>
          <w:p>
            <w:pPr>
              <w:jc w:val="center"/>
              <w:rPr>
                <w:rFonts w:ascii="宋体" w:hAnsi="宋体" w:eastAsia="宋体" w:cs="Times New Roman"/>
                <w:color w:val="000000"/>
                <w:kern w:val="2"/>
                <w:sz w:val="21"/>
                <w:szCs w:val="21"/>
                <w:lang w:val="en-US" w:eastAsia="zh-CN" w:bidi="ar-SA"/>
              </w:rPr>
            </w:pPr>
            <w:r>
              <w:rPr>
                <w:rFonts w:hint="eastAsia" w:ascii="宋体" w:hAnsi="宋体"/>
                <w:color w:val="000000"/>
                <w:szCs w:val="21"/>
              </w:rPr>
              <w:t>3</w:t>
            </w:r>
          </w:p>
        </w:tc>
        <w:tc>
          <w:tcPr>
            <w:tcW w:w="1458" w:type="dxa"/>
            <w:shd w:val="clear" w:color="auto" w:fill="auto"/>
            <w:vAlign w:val="center"/>
          </w:tcPr>
          <w:p>
            <w:pPr>
              <w:jc w:val="center"/>
              <w:rPr>
                <w:rFonts w:hint="eastAsia" w:ascii="Times New Roman" w:hAnsi="Times New Roman" w:eastAsia="宋体" w:cs="Times New Roman"/>
                <w:sz w:val="20"/>
                <w:szCs w:val="22"/>
                <w:lang w:val="zh-CN" w:eastAsia="zh-CN" w:bidi="zh-CN"/>
              </w:rPr>
            </w:pPr>
            <w:r>
              <w:rPr>
                <w:rFonts w:hint="eastAsia" w:ascii="Times New Roman" w:hAnsi="Times New Roman" w:eastAsia="宋体" w:cs="Times New Roman"/>
                <w:sz w:val="20"/>
                <w:szCs w:val="22"/>
                <w:lang w:val="zh-CN" w:eastAsia="zh-CN" w:bidi="zh-CN"/>
              </w:rPr>
              <w:t>使用标志及注意事项</w:t>
            </w:r>
          </w:p>
          <w:p>
            <w:pPr>
              <w:jc w:val="center"/>
              <w:rPr>
                <w:rFonts w:hint="eastAsia" w:ascii="宋体" w:hAnsi="宋体" w:eastAsia="宋体" w:cs="Times New Roman"/>
                <w:color w:val="000000"/>
                <w:kern w:val="0"/>
                <w:szCs w:val="21"/>
                <w:lang w:val="en-US" w:eastAsia="zh-CN"/>
              </w:rPr>
            </w:pPr>
            <w:r>
              <w:rPr>
                <w:rFonts w:hint="eastAsia" w:ascii="Times New Roman" w:hAnsi="Times New Roman" w:eastAsia="宋体" w:cs="Times New Roman"/>
                <w:b/>
                <w:bCs/>
                <w:sz w:val="20"/>
                <w:szCs w:val="22"/>
                <w:lang w:val="zh-CN" w:eastAsia="zh-CN" w:bidi="zh-CN"/>
              </w:rPr>
              <w:t>（统计项）</w:t>
            </w:r>
          </w:p>
        </w:tc>
        <w:tc>
          <w:tcPr>
            <w:tcW w:w="5225" w:type="dxa"/>
            <w:shd w:val="clear" w:color="auto" w:fill="auto"/>
            <w:vAlign w:val="center"/>
          </w:tcPr>
          <w:p>
            <w:pPr>
              <w:jc w:val="left"/>
              <w:rPr>
                <w:rFonts w:hint="eastAsia" w:ascii="宋体" w:hAnsi="宋体" w:eastAsia="宋体" w:cs="Times New Roman"/>
                <w:color w:val="000000"/>
                <w:kern w:val="0"/>
                <w:szCs w:val="21"/>
                <w:lang w:val="en-US" w:eastAsia="zh-CN"/>
              </w:rPr>
            </w:pPr>
            <w:r>
              <w:rPr>
                <w:rFonts w:hint="eastAsia" w:ascii="Times New Roman" w:hAnsi="Times New Roman" w:eastAsia="宋体" w:cs="Times New Roman"/>
                <w:sz w:val="20"/>
                <w:szCs w:val="22"/>
                <w:lang w:val="zh-CN" w:eastAsia="zh-CN" w:bidi="zh-CN"/>
              </w:rPr>
              <w:t>叉车使用单位应当在叉车明显位置标明登记标志、定期检验标志</w:t>
            </w:r>
          </w:p>
        </w:tc>
        <w:tc>
          <w:tcPr>
            <w:tcW w:w="6358" w:type="dxa"/>
            <w:shd w:val="clear" w:color="auto" w:fill="auto"/>
            <w:vAlign w:val="center"/>
          </w:tcPr>
          <w:p>
            <w:pPr>
              <w:spacing w:line="440" w:lineRule="exact"/>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目测</w:t>
            </w:r>
          </w:p>
          <w:p>
            <w:pPr>
              <w:rPr>
                <w:rFonts w:hint="eastAsia" w:ascii="宋体" w:hAnsi="宋体" w:eastAsia="宋体" w:cs="Times New Roman"/>
                <w:color w:val="auto"/>
                <w:kern w:val="0"/>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0" w:type="dxa"/>
            <w:shd w:val="clear" w:color="auto" w:fill="auto"/>
            <w:vAlign w:val="center"/>
          </w:tcPr>
          <w:p>
            <w:pPr>
              <w:jc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c>
          <w:tcPr>
            <w:tcW w:w="1458" w:type="dxa"/>
            <w:shd w:val="clear" w:color="auto" w:fill="auto"/>
            <w:vAlign w:val="center"/>
          </w:tcPr>
          <w:p>
            <w:pPr>
              <w:jc w:val="center"/>
              <w:rPr>
                <w:rFonts w:hint="eastAsia" w:ascii="宋体" w:hAnsi="宋体" w:eastAsia="宋体" w:cs="Times New Roman"/>
                <w:color w:val="000000"/>
                <w:kern w:val="0"/>
                <w:szCs w:val="21"/>
                <w:lang w:val="en-US" w:eastAsia="zh-CN"/>
              </w:rPr>
            </w:pPr>
            <w:r>
              <w:rPr>
                <w:rFonts w:hint="eastAsia" w:ascii="Times New Roman" w:hAnsi="Times New Roman" w:eastAsia="宋体" w:cs="Times New Roman"/>
                <w:sz w:val="20"/>
                <w:szCs w:val="22"/>
                <w:lang w:val="zh-CN" w:eastAsia="zh-CN" w:bidi="zh-CN"/>
              </w:rPr>
              <w:t>安全操作规程</w:t>
            </w:r>
            <w:r>
              <w:rPr>
                <w:rFonts w:hint="eastAsia" w:ascii="Times New Roman" w:hAnsi="Times New Roman" w:eastAsia="宋体" w:cs="Times New Roman"/>
                <w:b/>
                <w:bCs/>
                <w:sz w:val="20"/>
                <w:szCs w:val="22"/>
                <w:lang w:val="zh-CN" w:eastAsia="zh-CN" w:bidi="zh-CN"/>
              </w:rPr>
              <w:t>（统计项）</w:t>
            </w:r>
          </w:p>
        </w:tc>
        <w:tc>
          <w:tcPr>
            <w:tcW w:w="5225" w:type="dxa"/>
            <w:shd w:val="clear" w:color="auto" w:fill="auto"/>
            <w:vAlign w:val="center"/>
          </w:tcPr>
          <w:p>
            <w:pPr>
              <w:jc w:val="left"/>
              <w:rPr>
                <w:rFonts w:hint="eastAsia" w:ascii="宋体" w:hAnsi="宋体" w:eastAsia="宋体" w:cs="Times New Roman"/>
                <w:color w:val="000000"/>
                <w:kern w:val="0"/>
                <w:szCs w:val="21"/>
                <w:lang w:val="zh-CN" w:eastAsia="zh-CN"/>
              </w:rPr>
            </w:pPr>
            <w:r>
              <w:rPr>
                <w:rFonts w:hint="eastAsia" w:ascii="Times New Roman" w:hAnsi="Times New Roman" w:eastAsia="宋体" w:cs="Times New Roman"/>
                <w:sz w:val="20"/>
                <w:szCs w:val="22"/>
                <w:lang w:val="zh-CN" w:eastAsia="zh-CN" w:bidi="zh-CN"/>
              </w:rPr>
              <w:t>使用单位应当制定安全操作规程，并且在本单位贯彻实施</w:t>
            </w:r>
          </w:p>
        </w:tc>
        <w:tc>
          <w:tcPr>
            <w:tcW w:w="6358" w:type="dxa"/>
            <w:shd w:val="clear" w:color="auto" w:fill="auto"/>
            <w:vAlign w:val="center"/>
          </w:tcPr>
          <w:p>
            <w:pPr>
              <w:spacing w:line="440" w:lineRule="exact"/>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查看是否制定安全操作规程（纸质操作规程、海报上墙或者内部违章监督管理记录等均视为符合要求）</w:t>
            </w:r>
          </w:p>
          <w:p>
            <w:pPr>
              <w:rPr>
                <w:rFonts w:hint="eastAsia" w:ascii="宋体" w:hAnsi="宋体" w:eastAsia="宋体" w:cs="Times New Roman"/>
                <w:color w:val="auto"/>
                <w:kern w:val="0"/>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0" w:type="dxa"/>
            <w:shd w:val="clear" w:color="auto" w:fill="auto"/>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lang w:val="en-US" w:eastAsia="zh-CN"/>
              </w:rPr>
              <w:t>5</w:t>
            </w:r>
          </w:p>
        </w:tc>
        <w:tc>
          <w:tcPr>
            <w:tcW w:w="1458" w:type="dxa"/>
            <w:shd w:val="clear" w:color="auto" w:fill="auto"/>
            <w:vAlign w:val="center"/>
          </w:tcPr>
          <w:p>
            <w:pPr>
              <w:jc w:val="center"/>
              <w:rPr>
                <w:rFonts w:hint="eastAsia" w:ascii="Times New Roman" w:hAnsi="Times New Roman" w:cs="Times New Roman"/>
                <w:sz w:val="20"/>
                <w:szCs w:val="22"/>
                <w:highlight w:val="none"/>
                <w:lang w:val="en-US" w:eastAsia="zh-CN" w:bidi="zh-CN"/>
              </w:rPr>
            </w:pPr>
            <w:r>
              <w:rPr>
                <w:rFonts w:hint="eastAsia" w:ascii="Times New Roman" w:hAnsi="Times New Roman" w:cs="Times New Roman"/>
                <w:sz w:val="20"/>
                <w:szCs w:val="22"/>
                <w:highlight w:val="none"/>
                <w:lang w:val="en-US" w:eastAsia="zh-CN" w:bidi="zh-CN"/>
              </w:rPr>
              <w:t>维保制度</w:t>
            </w:r>
          </w:p>
          <w:p>
            <w:pPr>
              <w:jc w:val="center"/>
              <w:rPr>
                <w:rFonts w:ascii="宋体" w:hAnsi="宋体" w:eastAsia="宋体" w:cs="Times New Roman"/>
                <w:color w:val="000000"/>
                <w:kern w:val="0"/>
                <w:sz w:val="21"/>
                <w:szCs w:val="21"/>
                <w:lang w:val="en-US" w:eastAsia="zh-CN" w:bidi="ar-SA"/>
              </w:rPr>
            </w:pPr>
            <w:r>
              <w:rPr>
                <w:rFonts w:hint="eastAsia" w:ascii="Times New Roman" w:hAnsi="Times New Roman" w:eastAsia="宋体" w:cs="Times New Roman"/>
                <w:b/>
                <w:bCs/>
                <w:sz w:val="20"/>
                <w:szCs w:val="22"/>
                <w:highlight w:val="none"/>
                <w:lang w:val="zh-CN" w:eastAsia="zh-CN" w:bidi="zh-CN"/>
              </w:rPr>
              <w:t>（统计项）</w:t>
            </w:r>
          </w:p>
        </w:tc>
        <w:tc>
          <w:tcPr>
            <w:tcW w:w="5225" w:type="dxa"/>
            <w:shd w:val="clear" w:color="auto" w:fill="auto"/>
            <w:vAlign w:val="center"/>
          </w:tcPr>
          <w:p>
            <w:pPr>
              <w:jc w:val="left"/>
              <w:rPr>
                <w:rFonts w:ascii="宋体" w:hAnsi="宋体" w:eastAsia="宋体" w:cs="Times New Roman"/>
                <w:color w:val="000000"/>
                <w:kern w:val="0"/>
                <w:sz w:val="21"/>
                <w:szCs w:val="21"/>
                <w:lang w:val="en-US" w:eastAsia="zh-CN" w:bidi="ar-SA"/>
              </w:rPr>
            </w:pPr>
            <w:r>
              <w:rPr>
                <w:rFonts w:hint="eastAsia" w:ascii="Times New Roman" w:hAnsi="Times New Roman" w:cs="Times New Roman"/>
                <w:sz w:val="20"/>
                <w:szCs w:val="22"/>
                <w:highlight w:val="none"/>
                <w:lang w:val="zh-CN" w:eastAsia="zh-CN" w:bidi="zh-CN"/>
              </w:rPr>
              <w:t>建立维护保养制度并落实实施。（所抽查设备按要求进行经常性维护保养或者定期自行检查并有记录）</w:t>
            </w:r>
          </w:p>
        </w:tc>
        <w:tc>
          <w:tcPr>
            <w:tcW w:w="6358" w:type="dxa"/>
            <w:shd w:val="clear" w:color="auto" w:fill="auto"/>
            <w:vAlign w:val="center"/>
          </w:tcPr>
          <w:p>
            <w:pPr>
              <w:spacing w:line="440" w:lineRule="exact"/>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查看维保制度，同时核查是否落实实施（如有自行检查或者维护保养记录单均视为符合要求）</w:t>
            </w:r>
          </w:p>
          <w:p>
            <w:pPr>
              <w:rPr>
                <w:rFonts w:hint="eastAsia" w:ascii="宋体" w:hAnsi="宋体" w:eastAsia="宋体" w:cs="Times New Roman"/>
                <w:color w:val="auto"/>
                <w:kern w:val="0"/>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0" w:type="dxa"/>
            <w:shd w:val="clear" w:color="auto" w:fill="auto"/>
            <w:vAlign w:val="center"/>
          </w:tcPr>
          <w:p>
            <w:pPr>
              <w:jc w:val="center"/>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6</w:t>
            </w:r>
          </w:p>
        </w:tc>
        <w:tc>
          <w:tcPr>
            <w:tcW w:w="1458" w:type="dxa"/>
            <w:shd w:val="clear" w:color="auto" w:fill="auto"/>
            <w:vAlign w:val="center"/>
          </w:tcPr>
          <w:p>
            <w:pPr>
              <w:jc w:val="center"/>
              <w:rPr>
                <w:rFonts w:hint="default"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落实总局74号令（统计项）</w:t>
            </w:r>
          </w:p>
        </w:tc>
        <w:tc>
          <w:tcPr>
            <w:tcW w:w="5225" w:type="dxa"/>
            <w:shd w:val="clear" w:color="auto" w:fill="auto"/>
            <w:vAlign w:val="center"/>
          </w:tcPr>
          <w:p>
            <w:pPr>
              <w:jc w:val="left"/>
              <w:rPr>
                <w:rFonts w:hint="eastAsia" w:ascii="宋体" w:hAnsi="宋体" w:eastAsia="宋体" w:cs="Times New Roman"/>
                <w:color w:val="auto"/>
                <w:kern w:val="0"/>
                <w:sz w:val="20"/>
                <w:szCs w:val="20"/>
                <w:highlight w:val="none"/>
                <w:lang w:val="zh-CN" w:eastAsia="zh-CN" w:bidi="ar-SA"/>
              </w:rPr>
            </w:pPr>
            <w:r>
              <w:rPr>
                <w:rFonts w:hint="eastAsia" w:ascii="宋体" w:hAnsi="宋体" w:eastAsia="宋体" w:cs="Times New Roman"/>
                <w:color w:val="auto"/>
                <w:kern w:val="0"/>
                <w:sz w:val="20"/>
                <w:szCs w:val="20"/>
                <w:highlight w:val="none"/>
                <w:lang w:val="zh-CN" w:eastAsia="zh-CN" w:bidi="ar-SA"/>
              </w:rPr>
              <w:t>注册“特设E管”小程序账号（见指引），录入三类人员信息，之后按规定落实“日管控、周排查、月调度”</w:t>
            </w:r>
          </w:p>
        </w:tc>
        <w:tc>
          <w:tcPr>
            <w:tcW w:w="6358" w:type="dxa"/>
            <w:shd w:val="clear" w:color="auto" w:fill="auto"/>
            <w:vAlign w:val="center"/>
          </w:tcPr>
          <w:p>
            <w:pPr>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zh-CN" w:eastAsia="zh-CN" w:bidi="ar-SA"/>
              </w:rPr>
              <w:t>查看“特设</w:t>
            </w:r>
            <w:r>
              <w:rPr>
                <w:rFonts w:hint="eastAsia" w:ascii="宋体" w:hAnsi="宋体" w:eastAsia="宋体" w:cs="Times New Roman"/>
                <w:color w:val="auto"/>
                <w:kern w:val="0"/>
                <w:sz w:val="20"/>
                <w:szCs w:val="20"/>
                <w:highlight w:val="none"/>
                <w:lang w:val="en-US" w:eastAsia="zh-CN" w:bidi="ar-SA"/>
              </w:rPr>
              <w:t>e</w:t>
            </w:r>
            <w:r>
              <w:rPr>
                <w:rFonts w:hint="eastAsia" w:ascii="宋体" w:hAnsi="宋体" w:eastAsia="宋体" w:cs="Times New Roman"/>
                <w:color w:val="auto"/>
                <w:kern w:val="0"/>
                <w:sz w:val="20"/>
                <w:szCs w:val="20"/>
                <w:highlight w:val="none"/>
                <w:lang w:val="zh-CN" w:eastAsia="zh-CN" w:bidi="ar-SA"/>
              </w:rPr>
              <w:t>管”小程序账号截图。对于未录入三类人员信息的单位，应现场指导使用或者指引关注我院公众号中“特设</w:t>
            </w:r>
            <w:r>
              <w:rPr>
                <w:rFonts w:hint="eastAsia" w:ascii="宋体" w:hAnsi="宋体" w:eastAsia="宋体" w:cs="Times New Roman"/>
                <w:color w:val="auto"/>
                <w:kern w:val="0"/>
                <w:sz w:val="20"/>
                <w:szCs w:val="20"/>
                <w:highlight w:val="none"/>
                <w:lang w:val="en-US" w:eastAsia="zh-CN" w:bidi="ar-SA"/>
              </w:rPr>
              <w:t>e管”小程序使用指引内容（指导过程拍照记录）。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4" w:hRule="atLeast"/>
        </w:trPr>
        <w:tc>
          <w:tcPr>
            <w:tcW w:w="560" w:type="dxa"/>
            <w:shd w:val="clear" w:color="auto" w:fill="auto"/>
            <w:vAlign w:val="center"/>
          </w:tcPr>
          <w:p>
            <w:pPr>
              <w:jc w:val="center"/>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7</w:t>
            </w:r>
          </w:p>
        </w:tc>
        <w:tc>
          <w:tcPr>
            <w:tcW w:w="1458" w:type="dxa"/>
            <w:shd w:val="clear" w:color="auto" w:fill="auto"/>
            <w:vAlign w:val="center"/>
          </w:tcPr>
          <w:p>
            <w:pPr>
              <w:jc w:val="center"/>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zh-CN" w:eastAsia="zh-CN" w:bidi="ar-SA"/>
              </w:rPr>
              <w:t>C2.</w:t>
            </w:r>
            <w:r>
              <w:rPr>
                <w:rFonts w:hint="eastAsia" w:ascii="宋体" w:hAnsi="宋体" w:eastAsia="宋体" w:cs="Times New Roman"/>
                <w:color w:val="auto"/>
                <w:kern w:val="0"/>
                <w:sz w:val="20"/>
                <w:szCs w:val="20"/>
                <w:highlight w:val="none"/>
                <w:lang w:val="en-US" w:eastAsia="zh-CN" w:bidi="ar-SA"/>
              </w:rPr>
              <w:t>3</w:t>
            </w:r>
            <w:r>
              <w:rPr>
                <w:rFonts w:hint="eastAsia" w:ascii="宋体" w:hAnsi="宋体" w:eastAsia="宋体" w:cs="Times New Roman"/>
                <w:color w:val="auto"/>
                <w:kern w:val="0"/>
                <w:sz w:val="20"/>
                <w:szCs w:val="20"/>
                <w:highlight w:val="none"/>
                <w:lang w:val="zh-CN" w:eastAsia="zh-CN" w:bidi="ar-SA"/>
              </w:rPr>
              <w:t xml:space="preserve"> 整车外观检查</w:t>
            </w:r>
            <w:r>
              <w:rPr>
                <w:rFonts w:hint="eastAsia" w:ascii="宋体" w:hAnsi="宋体" w:eastAsia="宋体" w:cs="Times New Roman"/>
                <w:color w:val="auto"/>
                <w:kern w:val="0"/>
                <w:sz w:val="20"/>
                <w:szCs w:val="20"/>
                <w:highlight w:val="none"/>
                <w:lang w:val="en-US" w:eastAsia="zh-CN" w:bidi="ar-SA"/>
              </w:rPr>
              <w:t>(C)</w:t>
            </w:r>
          </w:p>
        </w:tc>
        <w:tc>
          <w:tcPr>
            <w:tcW w:w="5225" w:type="dxa"/>
            <w:shd w:val="clear" w:color="auto" w:fill="auto"/>
            <w:vAlign w:val="center"/>
          </w:tcPr>
          <w:p>
            <w:pPr>
              <w:jc w:val="left"/>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（5）车身应当周正，各部件齐全、完整，连接紧固，无缺损；</w:t>
            </w:r>
          </w:p>
        </w:tc>
        <w:tc>
          <w:tcPr>
            <w:tcW w:w="6358" w:type="dxa"/>
            <w:shd w:val="clear" w:color="auto" w:fill="auto"/>
            <w:vAlign w:val="center"/>
          </w:tcPr>
          <w:p>
            <w:pPr>
              <w:spacing w:line="440" w:lineRule="exact"/>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外观检查</w:t>
            </w:r>
          </w:p>
          <w:p>
            <w:pPr>
              <w:rPr>
                <w:rFonts w:hint="eastAsia" w:ascii="宋体" w:hAnsi="宋体" w:eastAsia="宋体" w:cs="Times New Roman"/>
                <w:color w:val="auto"/>
                <w:kern w:val="0"/>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0" w:type="dxa"/>
            <w:shd w:val="clear" w:color="auto" w:fill="auto"/>
            <w:vAlign w:val="center"/>
          </w:tcPr>
          <w:p>
            <w:pPr>
              <w:jc w:val="center"/>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8</w:t>
            </w:r>
          </w:p>
        </w:tc>
        <w:tc>
          <w:tcPr>
            <w:tcW w:w="1458" w:type="dxa"/>
            <w:shd w:val="clear" w:color="auto" w:fill="auto"/>
            <w:vAlign w:val="center"/>
          </w:tcPr>
          <w:p>
            <w:pPr>
              <w:jc w:val="center"/>
              <w:rPr>
                <w:rFonts w:hint="eastAsia" w:ascii="宋体" w:hAnsi="宋体" w:eastAsia="宋体" w:cs="Times New Roman"/>
                <w:color w:val="auto"/>
                <w:kern w:val="0"/>
                <w:sz w:val="20"/>
                <w:szCs w:val="20"/>
                <w:highlight w:val="none"/>
                <w:lang w:val="zh-CN" w:eastAsia="zh-CN" w:bidi="ar-SA"/>
              </w:rPr>
            </w:pPr>
            <w:r>
              <w:rPr>
                <w:rFonts w:hint="eastAsia" w:ascii="宋体" w:hAnsi="宋体" w:eastAsia="宋体" w:cs="Times New Roman"/>
                <w:color w:val="auto"/>
                <w:kern w:val="0"/>
                <w:sz w:val="20"/>
                <w:szCs w:val="20"/>
                <w:highlight w:val="none"/>
                <w:lang w:val="zh-CN" w:eastAsia="zh-CN" w:bidi="ar-SA"/>
              </w:rPr>
              <w:t xml:space="preserve">C2.4 </w:t>
            </w:r>
          </w:p>
          <w:p>
            <w:pPr>
              <w:jc w:val="center"/>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zh-CN" w:eastAsia="zh-CN" w:bidi="ar-SA"/>
              </w:rPr>
              <w:t>主要受力结构件检查</w:t>
            </w:r>
            <w:r>
              <w:rPr>
                <w:rFonts w:hint="eastAsia" w:ascii="宋体" w:hAnsi="宋体" w:eastAsia="宋体" w:cs="Times New Roman"/>
                <w:color w:val="auto"/>
                <w:kern w:val="0"/>
                <w:sz w:val="20"/>
                <w:szCs w:val="20"/>
                <w:highlight w:val="none"/>
                <w:lang w:val="en-US" w:eastAsia="zh-CN" w:bidi="ar-SA"/>
              </w:rPr>
              <w:t>(B)</w:t>
            </w:r>
          </w:p>
        </w:tc>
        <w:tc>
          <w:tcPr>
            <w:tcW w:w="5225" w:type="dxa"/>
            <w:shd w:val="clear" w:color="auto" w:fill="auto"/>
            <w:vAlign w:val="center"/>
          </w:tcPr>
          <w:p>
            <w:pPr>
              <w:jc w:val="left"/>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（4）主要受力结构件应当无明显变形、裂纹和锈蚀，螺栓等连接件不应当缺少和松动</w:t>
            </w:r>
          </w:p>
        </w:tc>
        <w:tc>
          <w:tcPr>
            <w:tcW w:w="6358" w:type="dxa"/>
            <w:shd w:val="clear" w:color="auto" w:fill="auto"/>
            <w:vAlign w:val="center"/>
          </w:tcPr>
          <w:p>
            <w:pPr>
              <w:spacing w:line="440" w:lineRule="exact"/>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外观检查，应注意应力较大及应力集中部位</w:t>
            </w:r>
          </w:p>
          <w:p>
            <w:pPr>
              <w:rPr>
                <w:rFonts w:hint="eastAsia" w:ascii="宋体" w:hAnsi="宋体" w:eastAsia="宋体" w:cs="Times New Roman"/>
                <w:color w:val="auto"/>
                <w:kern w:val="0"/>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0" w:type="dxa"/>
            <w:shd w:val="clear" w:color="auto" w:fill="auto"/>
            <w:vAlign w:val="center"/>
          </w:tcPr>
          <w:p>
            <w:pPr>
              <w:jc w:val="center"/>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9</w:t>
            </w:r>
          </w:p>
        </w:tc>
        <w:tc>
          <w:tcPr>
            <w:tcW w:w="1458" w:type="dxa"/>
            <w:vMerge w:val="restart"/>
            <w:shd w:val="clear" w:color="auto" w:fill="auto"/>
            <w:vAlign w:val="center"/>
          </w:tcPr>
          <w:p>
            <w:pPr>
              <w:jc w:val="center"/>
              <w:rPr>
                <w:rFonts w:hint="eastAsia" w:ascii="宋体" w:hAnsi="宋体" w:eastAsia="宋体" w:cs="Times New Roman"/>
                <w:color w:val="auto"/>
                <w:kern w:val="0"/>
                <w:sz w:val="20"/>
                <w:szCs w:val="20"/>
                <w:highlight w:val="none"/>
                <w:lang w:val="zh-CN" w:eastAsia="zh-CN" w:bidi="ar-SA"/>
              </w:rPr>
            </w:pPr>
            <w:r>
              <w:rPr>
                <w:rFonts w:hint="eastAsia" w:ascii="宋体" w:hAnsi="宋体" w:eastAsia="宋体" w:cs="Times New Roman"/>
                <w:color w:val="auto"/>
                <w:kern w:val="0"/>
                <w:sz w:val="20"/>
                <w:szCs w:val="20"/>
                <w:highlight w:val="none"/>
                <w:lang w:val="zh-CN" w:eastAsia="zh-CN" w:bidi="ar-SA"/>
              </w:rPr>
              <w:t>C2.13 制动系统检查</w:t>
            </w:r>
          </w:p>
          <w:p>
            <w:pPr>
              <w:jc w:val="center"/>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(A/C)</w:t>
            </w:r>
          </w:p>
          <w:p>
            <w:pPr>
              <w:jc w:val="center"/>
              <w:rPr>
                <w:rFonts w:hint="eastAsia" w:ascii="宋体" w:hAnsi="宋体" w:eastAsia="宋体" w:cs="Times New Roman"/>
                <w:color w:val="auto"/>
                <w:kern w:val="0"/>
                <w:sz w:val="20"/>
                <w:szCs w:val="20"/>
                <w:highlight w:val="none"/>
                <w:lang w:val="en-US" w:eastAsia="zh-CN" w:bidi="ar-SA"/>
              </w:rPr>
            </w:pPr>
          </w:p>
        </w:tc>
        <w:tc>
          <w:tcPr>
            <w:tcW w:w="5225" w:type="dxa"/>
            <w:shd w:val="clear" w:color="auto" w:fill="auto"/>
            <w:vAlign w:val="center"/>
          </w:tcPr>
          <w:p>
            <w:pPr>
              <w:jc w:val="left"/>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（2）坐驾式叉车的行车制动与驻车制动系统应当由独立的装置进行操纵</w:t>
            </w:r>
          </w:p>
        </w:tc>
        <w:tc>
          <w:tcPr>
            <w:tcW w:w="6358" w:type="dxa"/>
            <w:vMerge w:val="restart"/>
            <w:shd w:val="clear" w:color="auto" w:fill="auto"/>
            <w:vAlign w:val="center"/>
          </w:tcPr>
          <w:p>
            <w:pPr>
              <w:numPr>
                <w:ilvl w:val="0"/>
                <w:numId w:val="0"/>
              </w:numPr>
              <w:spacing w:line="440" w:lineRule="exact"/>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外观检查行车、驻车制动设置，操作验证，必要时查阅使用说明书</w:t>
            </w:r>
          </w:p>
          <w:p>
            <w:pPr>
              <w:rPr>
                <w:rFonts w:hint="eastAsia" w:ascii="宋体" w:hAnsi="宋体" w:eastAsia="宋体" w:cs="Times New Roman"/>
                <w:color w:val="auto"/>
                <w:kern w:val="0"/>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0" w:type="dxa"/>
            <w:shd w:val="clear" w:color="auto" w:fill="auto"/>
            <w:vAlign w:val="center"/>
          </w:tcPr>
          <w:p>
            <w:pPr>
              <w:jc w:val="center"/>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10</w:t>
            </w:r>
          </w:p>
        </w:tc>
        <w:tc>
          <w:tcPr>
            <w:tcW w:w="1458" w:type="dxa"/>
            <w:vMerge w:val="continue"/>
            <w:shd w:val="clear" w:color="auto" w:fill="auto"/>
          </w:tcPr>
          <w:p>
            <w:pPr>
              <w:jc w:val="center"/>
              <w:rPr>
                <w:rFonts w:hint="eastAsia" w:ascii="宋体" w:hAnsi="宋体" w:eastAsia="宋体" w:cs="Times New Roman"/>
                <w:color w:val="auto"/>
                <w:kern w:val="0"/>
                <w:sz w:val="20"/>
                <w:szCs w:val="20"/>
                <w:highlight w:val="none"/>
                <w:lang w:val="en-US" w:eastAsia="zh-CN" w:bidi="ar-SA"/>
              </w:rPr>
            </w:pPr>
          </w:p>
        </w:tc>
        <w:tc>
          <w:tcPr>
            <w:tcW w:w="5225" w:type="dxa"/>
            <w:shd w:val="clear" w:color="auto" w:fill="auto"/>
            <w:vAlign w:val="center"/>
          </w:tcPr>
          <w:p>
            <w:pPr>
              <w:jc w:val="left"/>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（4）驻车制动系统应当通过纯机械装置把工作部件锁止，手柄操纵的驻车制动控制装置应当有防止意外释放的功能</w:t>
            </w:r>
          </w:p>
        </w:tc>
        <w:tc>
          <w:tcPr>
            <w:tcW w:w="6358" w:type="dxa"/>
            <w:vMerge w:val="continue"/>
            <w:shd w:val="clear" w:color="auto" w:fill="auto"/>
            <w:vAlign w:val="center"/>
          </w:tcPr>
          <w:p>
            <w:pPr>
              <w:rPr>
                <w:rFonts w:hint="eastAsia" w:ascii="宋体" w:hAnsi="宋体" w:eastAsia="宋体" w:cs="Times New Roman"/>
                <w:color w:val="auto"/>
                <w:kern w:val="0"/>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0" w:type="dxa"/>
            <w:shd w:val="clear" w:color="auto" w:fill="auto"/>
            <w:vAlign w:val="center"/>
          </w:tcPr>
          <w:p>
            <w:pPr>
              <w:jc w:val="center"/>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11</w:t>
            </w:r>
          </w:p>
        </w:tc>
        <w:tc>
          <w:tcPr>
            <w:tcW w:w="1458" w:type="dxa"/>
            <w:vMerge w:val="restart"/>
            <w:shd w:val="clear" w:color="auto" w:fill="auto"/>
            <w:vAlign w:val="center"/>
          </w:tcPr>
          <w:p>
            <w:pPr>
              <w:jc w:val="center"/>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zh-CN" w:eastAsia="zh-CN" w:bidi="ar-SA"/>
              </w:rPr>
              <w:t>C2.16 安全保护与防护装置检查</w:t>
            </w:r>
            <w:r>
              <w:rPr>
                <w:rFonts w:hint="eastAsia" w:ascii="宋体" w:hAnsi="宋体" w:eastAsia="宋体" w:cs="Times New Roman"/>
                <w:color w:val="auto"/>
                <w:kern w:val="0"/>
                <w:sz w:val="20"/>
                <w:szCs w:val="20"/>
                <w:highlight w:val="none"/>
                <w:lang w:val="en-US" w:eastAsia="zh-CN" w:bidi="ar-SA"/>
              </w:rPr>
              <w:t>(A/B/C)</w:t>
            </w:r>
          </w:p>
        </w:tc>
        <w:tc>
          <w:tcPr>
            <w:tcW w:w="5225" w:type="dxa"/>
            <w:shd w:val="clear" w:color="auto" w:fill="auto"/>
            <w:vAlign w:val="center"/>
          </w:tcPr>
          <w:p>
            <w:pPr>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（4）乘驾式叉车应当设置由司机控制、能够发出清晰声响的警示装置（至少包括喇叭、倒车蜂鸣器），其中，设计为司机侧站或者侧坐驾驶的叉车可不设置倒车蜂鸣器(B)</w:t>
            </w:r>
          </w:p>
        </w:tc>
        <w:tc>
          <w:tcPr>
            <w:tcW w:w="6358" w:type="dxa"/>
            <w:vMerge w:val="restart"/>
            <w:shd w:val="clear" w:color="auto" w:fill="auto"/>
            <w:vAlign w:val="center"/>
          </w:tcPr>
          <w:p>
            <w:pPr>
              <w:spacing w:line="440" w:lineRule="exact"/>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外观检查，操作试验，必要的测量及必要时查阅出厂资料</w:t>
            </w:r>
          </w:p>
          <w:p>
            <w:pPr>
              <w:rPr>
                <w:rFonts w:hint="eastAsia" w:ascii="宋体" w:hAnsi="宋体" w:eastAsia="宋体" w:cs="Times New Roman"/>
                <w:color w:val="auto"/>
                <w:kern w:val="0"/>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0" w:type="dxa"/>
            <w:shd w:val="clear" w:color="auto" w:fill="auto"/>
            <w:vAlign w:val="center"/>
          </w:tcPr>
          <w:p>
            <w:pPr>
              <w:jc w:val="center"/>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12</w:t>
            </w:r>
          </w:p>
        </w:tc>
        <w:tc>
          <w:tcPr>
            <w:tcW w:w="1458" w:type="dxa"/>
            <w:vMerge w:val="continue"/>
            <w:shd w:val="clear" w:color="auto" w:fill="auto"/>
          </w:tcPr>
          <w:p>
            <w:pPr>
              <w:jc w:val="center"/>
              <w:rPr>
                <w:rFonts w:hint="eastAsia" w:ascii="宋体" w:hAnsi="宋体" w:eastAsia="宋体" w:cs="Times New Roman"/>
                <w:color w:val="auto"/>
                <w:kern w:val="0"/>
                <w:sz w:val="20"/>
                <w:szCs w:val="20"/>
                <w:highlight w:val="none"/>
                <w:lang w:val="en-US" w:eastAsia="zh-CN" w:bidi="ar-SA"/>
              </w:rPr>
            </w:pPr>
          </w:p>
        </w:tc>
        <w:tc>
          <w:tcPr>
            <w:tcW w:w="5225" w:type="dxa"/>
            <w:shd w:val="clear" w:color="auto" w:fill="auto"/>
            <w:vAlign w:val="center"/>
          </w:tcPr>
          <w:p>
            <w:pPr>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（5）坐驾式平衡重式叉车和侧面式叉车应当设置后视镜，侧面式叉车货叉侧和额定起重量大于10000kg的坐驾式平衡重式叉车后方还应当设置视频监视装置(C)</w:t>
            </w:r>
          </w:p>
        </w:tc>
        <w:tc>
          <w:tcPr>
            <w:tcW w:w="6358" w:type="dxa"/>
            <w:vMerge w:val="continue"/>
            <w:shd w:val="clear" w:color="auto" w:fill="auto"/>
            <w:vAlign w:val="center"/>
          </w:tcPr>
          <w:p>
            <w:pPr>
              <w:rPr>
                <w:rFonts w:hint="eastAsia" w:ascii="宋体" w:hAnsi="宋体" w:eastAsia="宋体" w:cs="Times New Roman"/>
                <w:color w:val="auto"/>
                <w:kern w:val="0"/>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0" w:type="dxa"/>
            <w:shd w:val="clear" w:color="auto" w:fill="auto"/>
            <w:vAlign w:val="center"/>
          </w:tcPr>
          <w:p>
            <w:pPr>
              <w:jc w:val="center"/>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13</w:t>
            </w:r>
          </w:p>
        </w:tc>
        <w:tc>
          <w:tcPr>
            <w:tcW w:w="1458" w:type="dxa"/>
            <w:vMerge w:val="continue"/>
            <w:shd w:val="clear" w:color="auto" w:fill="auto"/>
          </w:tcPr>
          <w:p>
            <w:pPr>
              <w:jc w:val="center"/>
              <w:rPr>
                <w:rFonts w:hint="eastAsia" w:ascii="宋体" w:hAnsi="宋体" w:eastAsia="宋体" w:cs="Times New Roman"/>
                <w:color w:val="auto"/>
                <w:kern w:val="0"/>
                <w:sz w:val="20"/>
                <w:szCs w:val="20"/>
                <w:highlight w:val="none"/>
                <w:lang w:val="en-US" w:eastAsia="zh-CN" w:bidi="ar-SA"/>
              </w:rPr>
            </w:pPr>
          </w:p>
        </w:tc>
        <w:tc>
          <w:tcPr>
            <w:tcW w:w="5225" w:type="dxa"/>
            <w:shd w:val="clear" w:color="auto" w:fill="auto"/>
            <w:vAlign w:val="center"/>
          </w:tcPr>
          <w:p>
            <w:pPr>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（6）额定起重量不大于10000kg的坐驾式平衡重式叉车和侧面式叉车(单侧)应当配备司机防护约束装置(如安全带)(B)</w:t>
            </w:r>
          </w:p>
        </w:tc>
        <w:tc>
          <w:tcPr>
            <w:tcW w:w="6358" w:type="dxa"/>
            <w:vMerge w:val="continue"/>
            <w:shd w:val="clear" w:color="auto" w:fill="auto"/>
            <w:vAlign w:val="center"/>
          </w:tcPr>
          <w:p>
            <w:pPr>
              <w:rPr>
                <w:rFonts w:hint="eastAsia" w:ascii="宋体" w:hAnsi="宋体" w:eastAsia="宋体" w:cs="Times New Roman"/>
                <w:color w:val="auto"/>
                <w:kern w:val="0"/>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0" w:type="dxa"/>
            <w:shd w:val="clear" w:color="auto" w:fill="auto"/>
            <w:vAlign w:val="center"/>
          </w:tcPr>
          <w:p>
            <w:pPr>
              <w:jc w:val="center"/>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14</w:t>
            </w:r>
          </w:p>
        </w:tc>
        <w:tc>
          <w:tcPr>
            <w:tcW w:w="1458" w:type="dxa"/>
            <w:vMerge w:val="continue"/>
            <w:shd w:val="clear" w:color="auto" w:fill="auto"/>
          </w:tcPr>
          <w:p>
            <w:pPr>
              <w:jc w:val="center"/>
              <w:rPr>
                <w:rFonts w:hint="eastAsia" w:ascii="宋体" w:hAnsi="宋体" w:eastAsia="宋体" w:cs="Times New Roman"/>
                <w:color w:val="auto"/>
                <w:kern w:val="0"/>
                <w:sz w:val="20"/>
                <w:szCs w:val="20"/>
                <w:highlight w:val="none"/>
                <w:lang w:val="en-US" w:eastAsia="zh-CN" w:bidi="ar-SA"/>
              </w:rPr>
            </w:pPr>
          </w:p>
        </w:tc>
        <w:tc>
          <w:tcPr>
            <w:tcW w:w="5225" w:type="dxa"/>
            <w:shd w:val="clear" w:color="auto" w:fill="auto"/>
            <w:vAlign w:val="center"/>
          </w:tcPr>
          <w:p>
            <w:pPr>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（9）起升装置应当设置防越程装置，避免货叉架和门架上的运动部件从门架上端意外脱落(A)</w:t>
            </w:r>
          </w:p>
        </w:tc>
        <w:tc>
          <w:tcPr>
            <w:tcW w:w="6358" w:type="dxa"/>
            <w:vMerge w:val="continue"/>
            <w:shd w:val="clear" w:color="auto" w:fill="auto"/>
            <w:vAlign w:val="center"/>
          </w:tcPr>
          <w:p>
            <w:pPr>
              <w:rPr>
                <w:rFonts w:hint="eastAsia" w:ascii="宋体" w:hAnsi="宋体" w:eastAsia="宋体" w:cs="Times New Roman"/>
                <w:color w:val="auto"/>
                <w:kern w:val="0"/>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0" w:type="dxa"/>
            <w:shd w:val="clear" w:color="auto" w:fill="auto"/>
            <w:vAlign w:val="center"/>
          </w:tcPr>
          <w:p>
            <w:pPr>
              <w:jc w:val="center"/>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15</w:t>
            </w:r>
          </w:p>
        </w:tc>
        <w:tc>
          <w:tcPr>
            <w:tcW w:w="1458" w:type="dxa"/>
            <w:vMerge w:val="restart"/>
            <w:shd w:val="clear" w:color="auto" w:fill="auto"/>
            <w:vAlign w:val="center"/>
          </w:tcPr>
          <w:p>
            <w:pPr>
              <w:jc w:val="center"/>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zh-CN" w:eastAsia="zh-CN" w:bidi="ar-SA"/>
              </w:rPr>
              <w:t>C2.17 安全监控装置检查（</w:t>
            </w:r>
            <w:r>
              <w:rPr>
                <w:rFonts w:hint="eastAsia" w:ascii="宋体" w:hAnsi="宋体" w:eastAsia="宋体" w:cs="Times New Roman"/>
                <w:color w:val="auto"/>
                <w:kern w:val="0"/>
                <w:sz w:val="20"/>
                <w:szCs w:val="20"/>
                <w:highlight w:val="none"/>
                <w:lang w:val="en-US" w:eastAsia="zh-CN" w:bidi="ar-SA"/>
              </w:rPr>
              <w:t>C</w:t>
            </w:r>
            <w:r>
              <w:rPr>
                <w:rFonts w:hint="eastAsia" w:ascii="宋体" w:hAnsi="宋体" w:eastAsia="宋体" w:cs="Times New Roman"/>
                <w:color w:val="auto"/>
                <w:kern w:val="0"/>
                <w:sz w:val="20"/>
                <w:szCs w:val="20"/>
                <w:highlight w:val="none"/>
                <w:lang w:val="zh-CN" w:eastAsia="zh-CN" w:bidi="ar-SA"/>
              </w:rPr>
              <w:t>）</w:t>
            </w:r>
          </w:p>
        </w:tc>
        <w:tc>
          <w:tcPr>
            <w:tcW w:w="5225" w:type="dxa"/>
            <w:shd w:val="clear" w:color="auto" w:fill="auto"/>
            <w:vAlign w:val="center"/>
          </w:tcPr>
          <w:p>
            <w:pPr>
              <w:jc w:val="left"/>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（1）乘驾式电动叉车、电液换向的乘驾式内燃平衡重式叉车、电液换向的乘驾式 内燃侧面式叉车应当设置司机坐(站)姿状态感知系统，当司机不在正常操作位置时, 车辆不能进行动力运行，即使操纵载荷装卸控制装置，也不应当出现门架的倾斜和货叉架的移动；当司机回到正常操作位置，但没有进行额外操作时，动力运行、门架的 倾斜和货叉架的移动均不应当自动发生；</w:t>
            </w:r>
          </w:p>
        </w:tc>
        <w:tc>
          <w:tcPr>
            <w:tcW w:w="6358" w:type="dxa"/>
            <w:shd w:val="clear" w:color="auto" w:fill="auto"/>
            <w:vAlign w:val="center"/>
          </w:tcPr>
          <w:p>
            <w:pPr>
              <w:numPr>
                <w:ilvl w:val="0"/>
                <w:numId w:val="0"/>
              </w:numPr>
              <w:spacing w:line="440" w:lineRule="exact"/>
              <w:ind w:firstLine="400" w:firstLineChars="200"/>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① 叉车正常工作状态,驻车后操作者离开正常操作位置，操作前进或后退手柄(按钮),叉车能否前进或后退；操作门架的倾斜或货叉架移动手柄(按钮)，门架和货叉架是否运动。</w:t>
            </w:r>
          </w:p>
          <w:p>
            <w:pPr>
              <w:numPr>
                <w:ilvl w:val="0"/>
                <w:numId w:val="0"/>
              </w:numPr>
              <w:spacing w:line="440" w:lineRule="exact"/>
              <w:ind w:firstLine="400" w:firstLineChars="200"/>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② 司机回到正常操作位置，但没有进行额外操作时，叉车是否自动动力运行、门架倾斜和货叉架移动。</w:t>
            </w:r>
          </w:p>
          <w:p>
            <w:pPr>
              <w:rPr>
                <w:rFonts w:hint="eastAsia" w:ascii="宋体" w:hAnsi="宋体" w:eastAsia="宋体" w:cs="Times New Roman"/>
                <w:color w:val="auto"/>
                <w:kern w:val="0"/>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0" w:type="dxa"/>
            <w:shd w:val="clear" w:color="auto" w:fill="auto"/>
            <w:vAlign w:val="center"/>
          </w:tcPr>
          <w:p>
            <w:pPr>
              <w:jc w:val="center"/>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16</w:t>
            </w:r>
          </w:p>
        </w:tc>
        <w:tc>
          <w:tcPr>
            <w:tcW w:w="1458" w:type="dxa"/>
            <w:vMerge w:val="continue"/>
            <w:shd w:val="clear" w:color="auto" w:fill="auto"/>
          </w:tcPr>
          <w:p>
            <w:pPr>
              <w:jc w:val="center"/>
              <w:rPr>
                <w:rFonts w:hint="eastAsia" w:ascii="宋体" w:hAnsi="宋体" w:eastAsia="宋体" w:cs="Times New Roman"/>
                <w:color w:val="auto"/>
                <w:kern w:val="0"/>
                <w:sz w:val="20"/>
                <w:szCs w:val="20"/>
                <w:highlight w:val="none"/>
                <w:lang w:val="en-US" w:eastAsia="zh-CN" w:bidi="ar-SA"/>
              </w:rPr>
            </w:pPr>
          </w:p>
        </w:tc>
        <w:tc>
          <w:tcPr>
            <w:tcW w:w="5225" w:type="dxa"/>
            <w:shd w:val="clear" w:color="auto" w:fill="auto"/>
            <w:vAlign w:val="center"/>
          </w:tcPr>
          <w:p>
            <w:pPr>
              <w:jc w:val="left"/>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（2）应当设置司机权限信息采集器，通过指纹、虹膜、人脸特征等生物信息或者磁卡等与个人身份信息唯一绑定的媒介，验证司机操作权限，当该采集器失效、拆除或者司机信息不正确时，车辆不能启动；</w:t>
            </w:r>
          </w:p>
        </w:tc>
        <w:tc>
          <w:tcPr>
            <w:tcW w:w="6358" w:type="dxa"/>
            <w:shd w:val="clear" w:color="auto" w:fill="auto"/>
            <w:vAlign w:val="center"/>
          </w:tcPr>
          <w:p>
            <w:pPr>
              <w:numPr>
                <w:ilvl w:val="0"/>
                <w:numId w:val="0"/>
              </w:numPr>
              <w:spacing w:line="440" w:lineRule="exact"/>
              <w:ind w:firstLine="400" w:firstLineChars="200"/>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① 叉车通电后，输入操作者信息，依次进行正确的信息输入和不正确的信息输入，是否有输入完成的提醒，输入正确的信息后，叉车才能启动；输入不正确的信息后，叉车不能启动；正确的信息和不正确的信息采集后提醒是否一致。</w:t>
            </w:r>
          </w:p>
          <w:p>
            <w:pPr>
              <w:numPr>
                <w:ilvl w:val="0"/>
                <w:numId w:val="0"/>
              </w:numPr>
              <w:spacing w:line="440" w:lineRule="exact"/>
              <w:ind w:leftChars="200"/>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② 检查是否安装牢固且不易拆除；拆除后验证叉车是否能启动。</w:t>
            </w:r>
          </w:p>
          <w:p>
            <w:pPr>
              <w:rPr>
                <w:rFonts w:hint="eastAsia" w:ascii="宋体" w:hAnsi="宋体" w:eastAsia="宋体" w:cs="Times New Roman"/>
                <w:color w:val="auto"/>
                <w:kern w:val="0"/>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0" w:type="dxa"/>
            <w:shd w:val="clear" w:color="auto" w:fill="auto"/>
            <w:vAlign w:val="center"/>
          </w:tcPr>
          <w:p>
            <w:pPr>
              <w:jc w:val="center"/>
              <w:rPr>
                <w:rFonts w:hint="default"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17</w:t>
            </w:r>
          </w:p>
        </w:tc>
        <w:tc>
          <w:tcPr>
            <w:tcW w:w="1458" w:type="dxa"/>
            <w:vMerge w:val="restart"/>
            <w:shd w:val="clear" w:color="auto" w:fill="auto"/>
            <w:vAlign w:val="center"/>
          </w:tcPr>
          <w:p>
            <w:pPr>
              <w:jc w:val="center"/>
              <w:rPr>
                <w:rFonts w:hint="eastAsia" w:ascii="宋体" w:hAnsi="宋体" w:eastAsia="宋体" w:cs="Times New Roman"/>
                <w:color w:val="auto"/>
                <w:kern w:val="0"/>
                <w:sz w:val="20"/>
                <w:szCs w:val="20"/>
                <w:highlight w:val="none"/>
                <w:lang w:val="zh-CN" w:eastAsia="zh-CN" w:bidi="ar-SA"/>
              </w:rPr>
            </w:pPr>
            <w:r>
              <w:rPr>
                <w:rFonts w:hint="eastAsia" w:ascii="宋体" w:hAnsi="宋体" w:eastAsia="宋体" w:cs="Times New Roman"/>
                <w:color w:val="auto"/>
                <w:kern w:val="0"/>
                <w:sz w:val="20"/>
                <w:szCs w:val="20"/>
                <w:highlight w:val="none"/>
                <w:lang w:val="zh-CN" w:eastAsia="zh-CN" w:bidi="ar-SA"/>
              </w:rPr>
              <w:t>C3.5 制动性能试验</w:t>
            </w:r>
          </w:p>
          <w:p>
            <w:pPr>
              <w:jc w:val="center"/>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(A)</w:t>
            </w:r>
          </w:p>
        </w:tc>
        <w:tc>
          <w:tcPr>
            <w:tcW w:w="5225" w:type="dxa"/>
            <w:shd w:val="clear" w:color="auto" w:fill="auto"/>
            <w:vAlign w:val="center"/>
          </w:tcPr>
          <w:p>
            <w:pPr>
              <w:jc w:val="left"/>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（1）按照GB/T 18849—2011中6.1规定的工况、试验方法和要求进行试验，检查其结果是否符合标准要求；</w:t>
            </w:r>
          </w:p>
        </w:tc>
        <w:tc>
          <w:tcPr>
            <w:tcW w:w="6358" w:type="dxa"/>
            <w:shd w:val="clear" w:color="auto" w:fill="auto"/>
            <w:vAlign w:val="center"/>
          </w:tcPr>
          <w:p>
            <w:pPr>
              <w:spacing w:line="440" w:lineRule="exact"/>
              <w:ind w:firstLine="400" w:firstLineChars="200"/>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坡道驻车制动试验：无载状态，变速箱置空挡（如有时），发动机熄火或关闭运行电动机，操作驻车制动装置，将叉车停在作业区域中较大坡道上（由使用单位指引），停稳后观察5 min，车辆保持不动。上坡、下坡各进行一次。</w:t>
            </w:r>
          </w:p>
          <w:p>
            <w:pPr>
              <w:spacing w:line="440" w:lineRule="exact"/>
              <w:ind w:firstLine="400" w:firstLineChars="200"/>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如果坡度超过15%，停车制动器手柄上施加的最大操纵力可超过300N，但不应超过500N。</w:t>
            </w:r>
          </w:p>
          <w:p>
            <w:pPr>
              <w:rPr>
                <w:rFonts w:hint="eastAsia" w:ascii="宋体" w:hAnsi="宋体" w:eastAsia="宋体" w:cs="Times New Roman"/>
                <w:color w:val="auto"/>
                <w:kern w:val="0"/>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0" w:type="dxa"/>
            <w:shd w:val="clear" w:color="auto" w:fill="auto"/>
            <w:vAlign w:val="center"/>
          </w:tcPr>
          <w:p>
            <w:pPr>
              <w:jc w:val="center"/>
              <w:rPr>
                <w:rFonts w:hint="default"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18</w:t>
            </w:r>
          </w:p>
        </w:tc>
        <w:tc>
          <w:tcPr>
            <w:tcW w:w="1458" w:type="dxa"/>
            <w:vMerge w:val="continue"/>
            <w:shd w:val="clear" w:color="auto" w:fill="auto"/>
          </w:tcPr>
          <w:p>
            <w:pPr>
              <w:jc w:val="center"/>
              <w:rPr>
                <w:rFonts w:hint="eastAsia" w:ascii="宋体" w:hAnsi="宋体" w:eastAsia="宋体" w:cs="Times New Roman"/>
                <w:color w:val="auto"/>
                <w:kern w:val="0"/>
                <w:sz w:val="20"/>
                <w:szCs w:val="20"/>
                <w:highlight w:val="none"/>
                <w:lang w:val="en-US" w:eastAsia="zh-CN" w:bidi="ar-SA"/>
              </w:rPr>
            </w:pPr>
          </w:p>
        </w:tc>
        <w:tc>
          <w:tcPr>
            <w:tcW w:w="5225" w:type="dxa"/>
            <w:shd w:val="clear" w:color="auto" w:fill="auto"/>
            <w:vAlign w:val="center"/>
          </w:tcPr>
          <w:p>
            <w:pPr>
              <w:jc w:val="left"/>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（3）按照GB/T 18849—2011中6.2.1规定的工况、试验方法和要求进行试验，检查其结果是否符合标准要求。</w:t>
            </w:r>
          </w:p>
        </w:tc>
        <w:tc>
          <w:tcPr>
            <w:tcW w:w="6358" w:type="dxa"/>
            <w:shd w:val="clear" w:color="auto" w:fill="auto"/>
            <w:vAlign w:val="center"/>
          </w:tcPr>
          <w:p>
            <w:pPr>
              <w:spacing w:line="440" w:lineRule="exact"/>
              <w:ind w:firstLine="400" w:firstLineChars="200"/>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制动距离测定：</w:t>
            </w:r>
          </w:p>
          <w:p>
            <w:pPr>
              <w:spacing w:line="440" w:lineRule="exact"/>
              <w:ind w:firstLine="400" w:firstLineChars="200"/>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① 叉车空载行走工况，道路宜为平坦、干燥、清洁、硬实的沥青或水泥路面，在平直线路上以最高挡位，动力保持稳定，叉车于规定试验速度匀速行驶，启动操纵装置（此时车辆变速器应置于空档），应能够可靠制停。使用微机制动分析仪进行测量或者按拖痕法用钢卷尺进行测量。</w:t>
            </w:r>
          </w:p>
          <w:p>
            <w:pPr>
              <w:spacing w:line="440" w:lineRule="exact"/>
              <w:ind w:firstLine="400" w:firstLineChars="200"/>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② 应在车辆前进行驶时测2次,即沿场地前后两个方向各行驶1次；同样后退行驶时也测2次。每次试验前制动器应为冷态。</w:t>
            </w:r>
          </w:p>
          <w:p>
            <w:pPr>
              <w:spacing w:line="440" w:lineRule="exact"/>
              <w:ind w:firstLine="400" w:firstLineChars="200"/>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③ 前进行驶和后退行驶的制动距离和车辆速度应是沿场地前后两个方向试验所得测量值的平均值。</w:t>
            </w:r>
          </w:p>
          <w:p>
            <w:pPr>
              <w:spacing w:line="440" w:lineRule="exact"/>
              <w:ind w:firstLine="400" w:firstLineChars="200"/>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④ 根据所测数值与下表《考虑速度v (km/h)的制动距离s0(m)》的要求对比进行判定。</w:t>
            </w:r>
          </w:p>
          <w:p>
            <w:pPr>
              <w:rPr>
                <w:rFonts w:hint="eastAsia" w:ascii="宋体" w:hAnsi="宋体" w:eastAsia="宋体" w:cs="Times New Roman"/>
                <w:color w:val="auto"/>
                <w:kern w:val="0"/>
                <w:sz w:val="20"/>
                <w:szCs w:val="20"/>
                <w:highlight w:val="none"/>
                <w:lang w:val="en-US" w:eastAsia="zh-CN" w:bidi="ar-SA"/>
              </w:rPr>
            </w:pPr>
          </w:p>
        </w:tc>
      </w:tr>
    </w:tbl>
    <w:p>
      <w:pPr>
        <w:spacing w:line="280" w:lineRule="exact"/>
        <w:rPr>
          <w:rFonts w:hint="eastAsia" w:ascii="宋体" w:hAnsi="宋体" w:eastAsia="宋体" w:cs="宋体"/>
          <w:kern w:val="2"/>
          <w:sz w:val="21"/>
          <w:szCs w:val="21"/>
          <w:lang w:val="en-US" w:eastAsia="zh-CN" w:bidi="ar-SA"/>
        </w:rPr>
      </w:pPr>
      <w:r>
        <w:rPr>
          <w:rFonts w:hint="eastAsia" w:ascii="宋体" w:hAnsi="宋体" w:eastAsia="宋体" w:cs="Times New Roman"/>
          <w:color w:val="000000"/>
          <w:kern w:val="0"/>
          <w:sz w:val="21"/>
          <w:szCs w:val="21"/>
          <w:lang w:val="en-US" w:eastAsia="zh-CN" w:bidi="ar-SA"/>
        </w:rPr>
        <w:t>备注：1、第1、2项的项目内容与特种设备使用管理规则（TSG 08-201</w:t>
      </w:r>
      <w:r>
        <w:rPr>
          <w:rFonts w:hint="eastAsia" w:ascii="宋体" w:hAnsi="宋体"/>
          <w:color w:val="000000"/>
          <w:kern w:val="0"/>
          <w:szCs w:val="21"/>
        </w:rPr>
        <w:t>7）</w:t>
      </w:r>
      <w:r>
        <w:rPr>
          <w:rFonts w:hint="eastAsia"/>
          <w:color w:val="000000"/>
          <w:kern w:val="0"/>
          <w:szCs w:val="21"/>
          <w:lang w:eastAsia="zh-CN"/>
        </w:rPr>
        <w:t>中</w:t>
      </w:r>
      <w:r>
        <w:rPr>
          <w:rFonts w:hint="eastAsia" w:ascii="宋体" w:hAnsi="宋体" w:eastAsia="宋体" w:cs="宋体"/>
          <w:kern w:val="2"/>
          <w:sz w:val="21"/>
          <w:szCs w:val="21"/>
          <w:lang w:val="en-US" w:eastAsia="zh-CN" w:bidi="ar-SA"/>
        </w:rPr>
        <w:t>对作业人员的要求相对应；</w:t>
      </w:r>
    </w:p>
    <w:p>
      <w:pPr>
        <w:pStyle w:val="11"/>
        <w:keepNext w:val="0"/>
        <w:keepLines w:val="0"/>
        <w:pageBreakBefore w:val="0"/>
        <w:widowControl w:val="0"/>
        <w:numPr>
          <w:ilvl w:val="0"/>
          <w:numId w:val="2"/>
        </w:numPr>
        <w:suppressLineNumbers w:val="0"/>
        <w:kinsoku/>
        <w:wordWrap/>
        <w:overflowPunct/>
        <w:topLinePunct w:val="0"/>
        <w:autoSpaceDE w:val="0"/>
        <w:autoSpaceDN w:val="0"/>
        <w:bidi w:val="0"/>
        <w:adjustRightInd/>
        <w:snapToGrid/>
        <w:spacing w:before="0" w:beforeAutospacing="0" w:after="0" w:afterAutospacing="0" w:line="240" w:lineRule="exact"/>
        <w:ind w:left="0" w:leftChars="0" w:right="0" w:firstLine="420" w:firstLineChars="200"/>
        <w:jc w:val="left"/>
        <w:textAlignment w:val="auto"/>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第3项的项目内容与《特种设备安全法》第三十三条和第四十条相关内容相对应；</w:t>
      </w:r>
    </w:p>
    <w:p>
      <w:pPr>
        <w:pStyle w:val="11"/>
        <w:keepNext w:val="0"/>
        <w:keepLines w:val="0"/>
        <w:pageBreakBefore w:val="0"/>
        <w:widowControl w:val="0"/>
        <w:numPr>
          <w:ilvl w:val="0"/>
          <w:numId w:val="2"/>
        </w:numPr>
        <w:suppressLineNumbers w:val="0"/>
        <w:kinsoku/>
        <w:wordWrap/>
        <w:overflowPunct/>
        <w:topLinePunct w:val="0"/>
        <w:autoSpaceDE w:val="0"/>
        <w:autoSpaceDN w:val="0"/>
        <w:bidi w:val="0"/>
        <w:adjustRightInd/>
        <w:snapToGrid/>
        <w:spacing w:before="0" w:beforeAutospacing="0" w:after="0" w:afterAutospacing="0" w:line="240" w:lineRule="exact"/>
        <w:ind w:left="0" w:leftChars="0" w:right="0" w:firstLine="420" w:firstLineChars="200"/>
        <w:jc w:val="left"/>
        <w:textAlignment w:val="auto"/>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第</w:t>
      </w:r>
      <w:r>
        <w:rPr>
          <w:rFonts w:hint="eastAsia" w:cs="Times New Roman"/>
          <w:color w:val="000000"/>
          <w:kern w:val="0"/>
          <w:sz w:val="21"/>
          <w:szCs w:val="21"/>
          <w:lang w:val="en-US" w:eastAsia="zh-CN" w:bidi="ar-SA"/>
        </w:rPr>
        <w:t>4</w:t>
      </w:r>
      <w:r>
        <w:rPr>
          <w:rFonts w:hint="eastAsia" w:ascii="宋体" w:hAnsi="宋体" w:eastAsia="宋体" w:cs="Times New Roman"/>
          <w:color w:val="000000"/>
          <w:kern w:val="0"/>
          <w:sz w:val="21"/>
          <w:szCs w:val="21"/>
          <w:lang w:val="en-US" w:eastAsia="zh-CN" w:bidi="ar-SA"/>
        </w:rPr>
        <w:t>项的项目内容对应《场（厂）内专用机动车辆安全技</w:t>
      </w:r>
      <w:r>
        <w:rPr>
          <w:rFonts w:hint="eastAsia" w:ascii="宋体" w:hAnsi="宋体" w:eastAsia="宋体" w:cs="宋体"/>
          <w:kern w:val="2"/>
          <w:sz w:val="21"/>
          <w:szCs w:val="21"/>
          <w:lang w:val="en-US" w:eastAsia="zh-CN" w:bidi="ar-SA"/>
        </w:rPr>
        <w:t>术规程》（</w:t>
      </w:r>
      <w:r>
        <w:rPr>
          <w:rFonts w:hint="default" w:ascii="宋体" w:hAnsi="宋体" w:eastAsia="宋体" w:cs="宋体"/>
          <w:kern w:val="2"/>
          <w:sz w:val="21"/>
          <w:szCs w:val="21"/>
          <w:lang w:val="en-US" w:eastAsia="zh-CN" w:bidi="ar-SA"/>
        </w:rPr>
        <w:t>TSG 81-2022</w:t>
      </w:r>
      <w:r>
        <w:rPr>
          <w:rFonts w:hint="eastAsia" w:ascii="宋体" w:hAnsi="宋体" w:eastAsia="宋体" w:cs="宋体"/>
          <w:kern w:val="2"/>
          <w:sz w:val="21"/>
          <w:szCs w:val="21"/>
          <w:lang w:val="en-US" w:eastAsia="zh-CN" w:bidi="ar-SA"/>
        </w:rPr>
        <w:t>）</w:t>
      </w:r>
      <w:r>
        <w:rPr>
          <w:rFonts w:hint="default" w:ascii="宋体" w:hAnsi="宋体" w:eastAsia="宋体" w:cs="宋体"/>
          <w:kern w:val="2"/>
          <w:sz w:val="21"/>
          <w:szCs w:val="21"/>
          <w:lang w:val="en-US" w:eastAsia="zh-CN" w:bidi="ar-SA"/>
        </w:rPr>
        <w:t>5.1.4</w:t>
      </w:r>
      <w:r>
        <w:rPr>
          <w:rFonts w:hint="eastAsia" w:ascii="宋体" w:hAnsi="宋体" w:eastAsia="宋体" w:cs="宋体"/>
          <w:kern w:val="2"/>
          <w:sz w:val="21"/>
          <w:szCs w:val="21"/>
          <w:lang w:val="en-US" w:eastAsia="zh-CN" w:bidi="ar-SA"/>
        </w:rPr>
        <w:t>条内容相对应；</w:t>
      </w:r>
    </w:p>
    <w:p>
      <w:pPr>
        <w:pStyle w:val="11"/>
        <w:keepNext w:val="0"/>
        <w:keepLines w:val="0"/>
        <w:pageBreakBefore w:val="0"/>
        <w:widowControl w:val="0"/>
        <w:numPr>
          <w:ilvl w:val="0"/>
          <w:numId w:val="2"/>
        </w:numPr>
        <w:suppressLineNumbers w:val="0"/>
        <w:kinsoku/>
        <w:wordWrap/>
        <w:overflowPunct/>
        <w:topLinePunct w:val="0"/>
        <w:autoSpaceDE w:val="0"/>
        <w:autoSpaceDN w:val="0"/>
        <w:bidi w:val="0"/>
        <w:adjustRightInd/>
        <w:snapToGrid/>
        <w:spacing w:before="0" w:beforeAutospacing="0" w:after="0" w:afterAutospacing="0" w:line="240" w:lineRule="exact"/>
        <w:ind w:left="0" w:leftChars="0" w:right="0" w:firstLine="420" w:firstLineChars="200"/>
        <w:jc w:val="left"/>
        <w:textAlignment w:val="auto"/>
        <w:rPr>
          <w:rFonts w:hint="eastAsia" w:ascii="宋体" w:hAnsi="宋体" w:eastAsia="宋体" w:cs="Times New Roman"/>
          <w:color w:val="000000"/>
          <w:kern w:val="0"/>
          <w:sz w:val="21"/>
          <w:szCs w:val="21"/>
          <w:lang w:val="en-US" w:eastAsia="zh-CN" w:bidi="ar-SA"/>
        </w:rPr>
      </w:pPr>
      <w:r>
        <w:rPr>
          <w:rFonts w:hint="eastAsia" w:ascii="宋体" w:hAnsi="宋体" w:eastAsia="宋体" w:cs="宋体"/>
          <w:kern w:val="2"/>
          <w:sz w:val="21"/>
          <w:szCs w:val="21"/>
          <w:lang w:val="en-US" w:eastAsia="zh-CN" w:bidi="ar-SA"/>
        </w:rPr>
        <w:t>第</w:t>
      </w:r>
      <w:r>
        <w:rPr>
          <w:rFonts w:hint="eastAsia" w:cs="宋体"/>
          <w:kern w:val="2"/>
          <w:sz w:val="21"/>
          <w:szCs w:val="21"/>
          <w:lang w:val="en-US" w:eastAsia="zh-CN" w:bidi="ar-SA"/>
        </w:rPr>
        <w:t>5</w:t>
      </w:r>
      <w:r>
        <w:rPr>
          <w:rFonts w:hint="eastAsia" w:ascii="宋体" w:hAnsi="宋体" w:eastAsia="宋体" w:cs="宋体"/>
          <w:kern w:val="2"/>
          <w:sz w:val="21"/>
          <w:szCs w:val="21"/>
          <w:lang w:val="en-US" w:eastAsia="zh-CN" w:bidi="ar-SA"/>
        </w:rPr>
        <w:t>项的项目</w:t>
      </w:r>
      <w:r>
        <w:rPr>
          <w:rFonts w:hint="eastAsia" w:ascii="宋体" w:hAnsi="宋体" w:eastAsia="宋体" w:cs="Times New Roman"/>
          <w:color w:val="000000"/>
          <w:kern w:val="0"/>
          <w:sz w:val="21"/>
          <w:szCs w:val="21"/>
          <w:lang w:val="en-US" w:eastAsia="zh-CN" w:bidi="ar-SA"/>
        </w:rPr>
        <w:t>内容与特种设备使用管理规则（TSG 08-2017）中对</w:t>
      </w:r>
      <w:r>
        <w:rPr>
          <w:rFonts w:hint="eastAsia" w:cs="Times New Roman"/>
          <w:color w:val="000000"/>
          <w:kern w:val="0"/>
          <w:sz w:val="21"/>
          <w:szCs w:val="21"/>
          <w:lang w:val="en-US" w:eastAsia="zh-CN" w:bidi="ar-SA"/>
        </w:rPr>
        <w:t>管理制度的要求</w:t>
      </w:r>
      <w:r>
        <w:rPr>
          <w:rFonts w:hint="eastAsia" w:ascii="宋体" w:hAnsi="宋体" w:eastAsia="宋体" w:cs="Times New Roman"/>
          <w:color w:val="000000"/>
          <w:kern w:val="0"/>
          <w:sz w:val="21"/>
          <w:szCs w:val="21"/>
          <w:lang w:val="en-US" w:eastAsia="zh-CN" w:bidi="ar-SA"/>
        </w:rPr>
        <w:t>相对应；</w:t>
      </w:r>
    </w:p>
    <w:p>
      <w:pPr>
        <w:pStyle w:val="11"/>
        <w:keepNext w:val="0"/>
        <w:keepLines w:val="0"/>
        <w:pageBreakBefore w:val="0"/>
        <w:widowControl w:val="0"/>
        <w:numPr>
          <w:ilvl w:val="0"/>
          <w:numId w:val="2"/>
        </w:numPr>
        <w:suppressLineNumbers w:val="0"/>
        <w:kinsoku/>
        <w:wordWrap/>
        <w:overflowPunct/>
        <w:topLinePunct w:val="0"/>
        <w:autoSpaceDE w:val="0"/>
        <w:autoSpaceDN w:val="0"/>
        <w:bidi w:val="0"/>
        <w:adjustRightInd/>
        <w:snapToGrid/>
        <w:spacing w:before="0" w:beforeAutospacing="0" w:after="0" w:afterAutospacing="0" w:line="240" w:lineRule="exact"/>
        <w:ind w:left="0" w:leftChars="0" w:right="0" w:firstLine="420" w:firstLineChars="200"/>
        <w:jc w:val="left"/>
        <w:textAlignment w:val="auto"/>
        <w:rPr>
          <w:rFonts w:hint="eastAsia" w:ascii="宋体" w:hAnsi="宋体" w:eastAsia="宋体" w:cs="宋体"/>
          <w:kern w:val="2"/>
          <w:sz w:val="21"/>
          <w:szCs w:val="21"/>
          <w:lang w:val="en-US" w:eastAsia="zh-CN" w:bidi="ar-SA"/>
        </w:rPr>
      </w:pPr>
      <w:r>
        <w:rPr>
          <w:rFonts w:hint="eastAsia" w:cs="Times New Roman"/>
          <w:color w:val="000000"/>
          <w:kern w:val="0"/>
          <w:sz w:val="21"/>
          <w:szCs w:val="21"/>
          <w:lang w:val="en-US" w:eastAsia="zh-CN" w:bidi="ar-SA"/>
        </w:rPr>
        <w:t>第6项的项目内容与要求与《特种设备使用单位落实使用安全主体责任监督管理规定》（总局74号令）的要求相对应；</w:t>
      </w:r>
    </w:p>
    <w:p>
      <w:pPr>
        <w:pStyle w:val="11"/>
        <w:keepNext w:val="0"/>
        <w:keepLines w:val="0"/>
        <w:pageBreakBefore w:val="0"/>
        <w:widowControl w:val="0"/>
        <w:numPr>
          <w:ilvl w:val="0"/>
          <w:numId w:val="2"/>
        </w:numPr>
        <w:suppressLineNumbers w:val="0"/>
        <w:kinsoku/>
        <w:wordWrap/>
        <w:overflowPunct/>
        <w:topLinePunct w:val="0"/>
        <w:autoSpaceDE w:val="0"/>
        <w:autoSpaceDN w:val="0"/>
        <w:bidi w:val="0"/>
        <w:adjustRightInd/>
        <w:snapToGrid/>
        <w:spacing w:before="0" w:beforeAutospacing="0" w:after="0" w:afterAutospacing="0" w:line="240" w:lineRule="exact"/>
        <w:ind w:left="0" w:leftChars="0" w:right="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其余检验项目对应《场（厂）内专用机动车辆安全技术规程》（</w:t>
      </w:r>
      <w:r>
        <w:rPr>
          <w:rFonts w:hint="default" w:ascii="宋体" w:hAnsi="宋体" w:eastAsia="宋体" w:cs="宋体"/>
          <w:kern w:val="2"/>
          <w:sz w:val="21"/>
          <w:szCs w:val="21"/>
          <w:lang w:val="en-US" w:eastAsia="zh-CN" w:bidi="ar-SA"/>
        </w:rPr>
        <w:t>TSG 81-2022</w:t>
      </w:r>
      <w:r>
        <w:rPr>
          <w:rFonts w:hint="eastAsia" w:ascii="宋体" w:hAnsi="宋体" w:eastAsia="宋体" w:cs="宋体"/>
          <w:kern w:val="2"/>
          <w:sz w:val="21"/>
          <w:szCs w:val="21"/>
          <w:lang w:val="en-US" w:eastAsia="zh-CN" w:bidi="ar-SA"/>
        </w:rPr>
        <w:t>）的附件</w:t>
      </w:r>
      <w:r>
        <w:rPr>
          <w:rFonts w:hint="default" w:ascii="宋体" w:hAnsi="宋体" w:eastAsia="宋体" w:cs="宋体"/>
          <w:kern w:val="2"/>
          <w:sz w:val="21"/>
          <w:szCs w:val="21"/>
          <w:lang w:val="en-US" w:eastAsia="zh-CN" w:bidi="ar-SA"/>
        </w:rPr>
        <w:t>C</w:t>
      </w:r>
      <w:r>
        <w:rPr>
          <w:rFonts w:hint="eastAsia" w:ascii="宋体" w:hAnsi="宋体" w:eastAsia="宋体" w:cs="宋体"/>
          <w:kern w:val="2"/>
          <w:sz w:val="21"/>
          <w:szCs w:val="21"/>
          <w:lang w:val="en-US" w:eastAsia="zh-CN" w:bidi="ar-SA"/>
        </w:rPr>
        <w:t>《叉车检验项目及其内容、方法和要求》。</w:t>
      </w:r>
    </w:p>
    <w:p>
      <w:pPr>
        <w:rPr>
          <w:rFonts w:cs="宋体"/>
          <w:szCs w:val="21"/>
        </w:rPr>
      </w:pPr>
    </w:p>
    <w:p>
      <w:pPr>
        <w:spacing w:line="264" w:lineRule="auto"/>
        <w:ind w:firstLine="630" w:firstLineChars="300"/>
        <w:jc w:val="left"/>
        <w:rPr>
          <w:rFonts w:cs="宋体"/>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17AA8"/>
    <w:multiLevelType w:val="multilevel"/>
    <w:tmpl w:val="57B17AA8"/>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23D6339"/>
    <w:multiLevelType w:val="multilevel"/>
    <w:tmpl w:val="723D6339"/>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0NjJlOWE4MzVjMDgyNGFkNGI3OWQ2NTFjNDBmNjAifQ=="/>
  </w:docVars>
  <w:rsids>
    <w:rsidRoot w:val="00954886"/>
    <w:rsid w:val="0004453C"/>
    <w:rsid w:val="000A2429"/>
    <w:rsid w:val="000C7D44"/>
    <w:rsid w:val="000E0B06"/>
    <w:rsid w:val="00120B54"/>
    <w:rsid w:val="00132DD9"/>
    <w:rsid w:val="001A6151"/>
    <w:rsid w:val="001C6F70"/>
    <w:rsid w:val="00322FC9"/>
    <w:rsid w:val="00433DE5"/>
    <w:rsid w:val="00436D81"/>
    <w:rsid w:val="00454FF0"/>
    <w:rsid w:val="00455673"/>
    <w:rsid w:val="004948FC"/>
    <w:rsid w:val="00503993"/>
    <w:rsid w:val="00507CA7"/>
    <w:rsid w:val="00533024"/>
    <w:rsid w:val="00592FDF"/>
    <w:rsid w:val="005A3861"/>
    <w:rsid w:val="005A5D15"/>
    <w:rsid w:val="005D63E7"/>
    <w:rsid w:val="006600E3"/>
    <w:rsid w:val="00685E9F"/>
    <w:rsid w:val="006A7676"/>
    <w:rsid w:val="006C55DD"/>
    <w:rsid w:val="006F42F3"/>
    <w:rsid w:val="00723BC2"/>
    <w:rsid w:val="00790E6B"/>
    <w:rsid w:val="007A1648"/>
    <w:rsid w:val="007C3919"/>
    <w:rsid w:val="008024B9"/>
    <w:rsid w:val="00812E77"/>
    <w:rsid w:val="008252F3"/>
    <w:rsid w:val="008B2A74"/>
    <w:rsid w:val="008C38F9"/>
    <w:rsid w:val="00936CC2"/>
    <w:rsid w:val="00954886"/>
    <w:rsid w:val="0099269D"/>
    <w:rsid w:val="009A1B87"/>
    <w:rsid w:val="009D5D77"/>
    <w:rsid w:val="009F2E47"/>
    <w:rsid w:val="00A044BC"/>
    <w:rsid w:val="00AB11FA"/>
    <w:rsid w:val="00AB339B"/>
    <w:rsid w:val="00AD4A29"/>
    <w:rsid w:val="00CA16D2"/>
    <w:rsid w:val="00D51D16"/>
    <w:rsid w:val="00D81409"/>
    <w:rsid w:val="00E11B74"/>
    <w:rsid w:val="00E3006A"/>
    <w:rsid w:val="00EE5AC9"/>
    <w:rsid w:val="00F205ED"/>
    <w:rsid w:val="00F42723"/>
    <w:rsid w:val="00F667CC"/>
    <w:rsid w:val="00F72273"/>
    <w:rsid w:val="00F75829"/>
    <w:rsid w:val="00F90B88"/>
    <w:rsid w:val="077C4041"/>
    <w:rsid w:val="08FF094D"/>
    <w:rsid w:val="0A5D1DCF"/>
    <w:rsid w:val="0E5A03D3"/>
    <w:rsid w:val="1496451C"/>
    <w:rsid w:val="1CF47D55"/>
    <w:rsid w:val="208516A0"/>
    <w:rsid w:val="21A47E8B"/>
    <w:rsid w:val="25A317C7"/>
    <w:rsid w:val="26AD236F"/>
    <w:rsid w:val="277868EE"/>
    <w:rsid w:val="305F6E3B"/>
    <w:rsid w:val="315C5AB4"/>
    <w:rsid w:val="357C6CFE"/>
    <w:rsid w:val="36F9793E"/>
    <w:rsid w:val="3DC27856"/>
    <w:rsid w:val="44555869"/>
    <w:rsid w:val="46857AB3"/>
    <w:rsid w:val="469B3F13"/>
    <w:rsid w:val="4C87549D"/>
    <w:rsid w:val="55B14815"/>
    <w:rsid w:val="58711EB7"/>
    <w:rsid w:val="58831FCD"/>
    <w:rsid w:val="58DC1BAB"/>
    <w:rsid w:val="5A130C2C"/>
    <w:rsid w:val="5BC44825"/>
    <w:rsid w:val="5D760254"/>
    <w:rsid w:val="5E9071F2"/>
    <w:rsid w:val="605B55DE"/>
    <w:rsid w:val="61371BA7"/>
    <w:rsid w:val="66C043ED"/>
    <w:rsid w:val="696809E8"/>
    <w:rsid w:val="6C290E61"/>
    <w:rsid w:val="7C6B0EEA"/>
    <w:rsid w:val="7DBE0AD5"/>
    <w:rsid w:val="7DEC38C1"/>
    <w:rsid w:val="7F6D37E3"/>
    <w:rsid w:val="DB7F2C35"/>
    <w:rsid w:val="DCF9B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1"/>
      <w:szCs w:val="24"/>
      <w:lang w:val="en-US" w:eastAsia="zh-CN" w:bidi="ar-SA"/>
    </w:rPr>
  </w:style>
  <w:style w:type="paragraph" w:styleId="2">
    <w:name w:val="heading 1"/>
    <w:basedOn w:val="3"/>
    <w:next w:val="1"/>
    <w:link w:val="14"/>
    <w:qFormat/>
    <w:uiPriority w:val="9"/>
    <w:pPr>
      <w:spacing w:before="340" w:after="330"/>
      <w:ind w:firstLine="3520" w:firstLineChars="800"/>
    </w:pPr>
    <w:rPr>
      <w:rFonts w:eastAsia="方正小标宋简体"/>
      <w:b w:val="0"/>
      <w:bCs w:val="0"/>
      <w:kern w:val="0"/>
      <w:sz w:val="44"/>
      <w:szCs w:val="44"/>
    </w:rPr>
  </w:style>
  <w:style w:type="paragraph" w:styleId="4">
    <w:name w:val="heading 2"/>
    <w:basedOn w:val="1"/>
    <w:next w:val="1"/>
    <w:link w:val="15"/>
    <w:semiHidden/>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Title"/>
    <w:basedOn w:val="1"/>
    <w:next w:val="1"/>
    <w:link w:val="16"/>
    <w:qFormat/>
    <w:uiPriority w:val="10"/>
    <w:pPr>
      <w:spacing w:before="240" w:after="60"/>
      <w:jc w:val="center"/>
      <w:outlineLvl w:val="0"/>
    </w:pPr>
    <w:rPr>
      <w:rFonts w:asciiTheme="majorHAnsi" w:hAnsiTheme="majorHAnsi" w:cstheme="majorBidi"/>
      <w:b/>
      <w:bCs/>
      <w:szCs w:val="32"/>
    </w:rPr>
  </w:style>
  <w:style w:type="paragraph" w:styleId="5">
    <w:name w:val="Balloon Text"/>
    <w:basedOn w:val="1"/>
    <w:link w:val="23"/>
    <w:semiHidden/>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Subtitle"/>
    <w:basedOn w:val="2"/>
    <w:next w:val="4"/>
    <w:link w:val="17"/>
    <w:qFormat/>
    <w:uiPriority w:val="11"/>
    <w:pPr>
      <w:spacing w:before="0" w:after="0" w:line="560" w:lineRule="exact"/>
      <w:ind w:firstLine="200" w:firstLineChars="200"/>
      <w:jc w:val="left"/>
      <w:outlineLvl w:val="1"/>
    </w:pPr>
    <w:rPr>
      <w:rFonts w:eastAsia="黑体"/>
      <w:bCs/>
      <w:color w:val="000000" w:themeColor="text1"/>
      <w:szCs w:val="32"/>
      <w14:textFill>
        <w14:solidFill>
          <w14:schemeClr w14:val="tx1"/>
        </w14:solidFill>
      </w14:textFill>
    </w:rPr>
  </w:style>
  <w:style w:type="paragraph" w:styleId="9">
    <w:name w:val="Body Text Indent 3"/>
    <w:basedOn w:val="1"/>
    <w:link w:val="21"/>
    <w:unhideWhenUsed/>
    <w:qFormat/>
    <w:uiPriority w:val="0"/>
    <w:pPr>
      <w:spacing w:line="360" w:lineRule="atLeast"/>
      <w:ind w:firstLine="480" w:firstLineChars="200"/>
      <w:jc w:val="left"/>
    </w:pPr>
    <w:rPr>
      <w:rFonts w:ascii="仿宋_GB2312" w:hAnsi="Times New Roman" w:eastAsia="仿宋_GB2312"/>
      <w:sz w:val="24"/>
      <w:szCs w:val="20"/>
    </w:rPr>
  </w:style>
  <w:style w:type="paragraph" w:styleId="10">
    <w:name w:val="Body Text 2"/>
    <w:basedOn w:val="1"/>
    <w:qFormat/>
    <w:uiPriority w:val="0"/>
    <w:pPr>
      <w:spacing w:line="360" w:lineRule="auto"/>
    </w:pPr>
    <w:rPr>
      <w:sz w:val="24"/>
    </w:rPr>
  </w:style>
  <w:style w:type="paragraph" w:styleId="11">
    <w:name w:val="Normal (Web)"/>
    <w:basedOn w:val="1"/>
    <w:qFormat/>
    <w:uiPriority w:val="0"/>
    <w:rPr>
      <w:sz w:val="24"/>
    </w:rPr>
  </w:style>
  <w:style w:type="character" w:customStyle="1" w:styleId="14">
    <w:name w:val="标题 1 字符"/>
    <w:basedOn w:val="13"/>
    <w:link w:val="2"/>
    <w:qFormat/>
    <w:uiPriority w:val="9"/>
    <w:rPr>
      <w:color w:val="auto"/>
      <w:kern w:val="0"/>
    </w:rPr>
  </w:style>
  <w:style w:type="character" w:customStyle="1" w:styleId="15">
    <w:name w:val="标题 2 字符"/>
    <w:basedOn w:val="13"/>
    <w:link w:val="4"/>
    <w:semiHidden/>
    <w:qFormat/>
    <w:uiPriority w:val="9"/>
    <w:rPr>
      <w:rFonts w:asciiTheme="majorHAnsi" w:hAnsiTheme="majorHAnsi" w:eastAsiaTheme="majorEastAsia" w:cstheme="majorBidi"/>
      <w:b/>
      <w:bCs/>
      <w:sz w:val="32"/>
      <w:szCs w:val="32"/>
    </w:rPr>
  </w:style>
  <w:style w:type="character" w:customStyle="1" w:styleId="16">
    <w:name w:val="标题 字符"/>
    <w:basedOn w:val="13"/>
    <w:link w:val="3"/>
    <w:qFormat/>
    <w:uiPriority w:val="10"/>
    <w:rPr>
      <w:rFonts w:eastAsia="宋体" w:asciiTheme="majorHAnsi" w:hAnsiTheme="majorHAnsi" w:cstheme="majorBidi"/>
      <w:b/>
      <w:bCs/>
      <w:szCs w:val="32"/>
    </w:rPr>
  </w:style>
  <w:style w:type="character" w:customStyle="1" w:styleId="17">
    <w:name w:val="副标题 字符"/>
    <w:basedOn w:val="13"/>
    <w:link w:val="8"/>
    <w:qFormat/>
    <w:uiPriority w:val="11"/>
    <w:rPr>
      <w:rFonts w:eastAsia="黑体" w:asciiTheme="majorHAnsi" w:hAnsiTheme="majorHAnsi" w:cstheme="majorBidi"/>
      <w:bCs/>
      <w:color w:val="000000" w:themeColor="text1"/>
      <w:kern w:val="0"/>
      <w:szCs w:val="32"/>
      <w14:textFill>
        <w14:solidFill>
          <w14:schemeClr w14:val="tx1"/>
        </w14:solidFill>
      </w14:textFill>
    </w:rPr>
  </w:style>
  <w:style w:type="paragraph" w:customStyle="1" w:styleId="18">
    <w:name w:val="二级标题"/>
    <w:basedOn w:val="4"/>
    <w:next w:val="1"/>
    <w:qFormat/>
    <w:uiPriority w:val="0"/>
    <w:pPr>
      <w:spacing w:before="0" w:after="0" w:line="560" w:lineRule="exact"/>
    </w:pPr>
    <w:rPr>
      <w:rFonts w:eastAsia="楷体_GB2312"/>
      <w:b w:val="0"/>
    </w:rPr>
  </w:style>
  <w:style w:type="character" w:customStyle="1" w:styleId="19">
    <w:name w:val="页眉 字符"/>
    <w:basedOn w:val="13"/>
    <w:link w:val="7"/>
    <w:qFormat/>
    <w:uiPriority w:val="99"/>
    <w:rPr>
      <w:rFonts w:ascii="仿宋" w:hAnsi="仿宋" w:eastAsia="仿宋_GB2312" w:cstheme="minorBidi"/>
      <w:color w:val="auto"/>
      <w:kern w:val="2"/>
      <w:sz w:val="18"/>
      <w:szCs w:val="18"/>
    </w:rPr>
  </w:style>
  <w:style w:type="character" w:customStyle="1" w:styleId="20">
    <w:name w:val="页脚 字符"/>
    <w:basedOn w:val="13"/>
    <w:link w:val="6"/>
    <w:qFormat/>
    <w:uiPriority w:val="99"/>
    <w:rPr>
      <w:rFonts w:ascii="仿宋" w:hAnsi="仿宋" w:eastAsia="仿宋_GB2312" w:cstheme="minorBidi"/>
      <w:color w:val="auto"/>
      <w:kern w:val="2"/>
      <w:sz w:val="18"/>
      <w:szCs w:val="18"/>
    </w:rPr>
  </w:style>
  <w:style w:type="character" w:customStyle="1" w:styleId="21">
    <w:name w:val="正文文本缩进 3 字符"/>
    <w:basedOn w:val="13"/>
    <w:link w:val="9"/>
    <w:qFormat/>
    <w:uiPriority w:val="0"/>
    <w:rPr>
      <w:rFonts w:ascii="仿宋_GB2312" w:hAnsi="Times New Roman" w:eastAsia="仿宋_GB2312" w:cs="Times New Roman"/>
      <w:color w:val="auto"/>
      <w:kern w:val="2"/>
      <w:sz w:val="24"/>
      <w:szCs w:val="20"/>
    </w:rPr>
  </w:style>
  <w:style w:type="paragraph" w:customStyle="1" w:styleId="2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
    <w:name w:val="批注框文本 字符"/>
    <w:basedOn w:val="13"/>
    <w:link w:val="5"/>
    <w:semiHidden/>
    <w:qFormat/>
    <w:uiPriority w:val="99"/>
    <w:rPr>
      <w:rFonts w:ascii="宋体" w:hAnsi="宋体" w:eastAsia="宋体" w:cs="Times New Roman"/>
      <w:color w:val="auto"/>
      <w:kern w:val="2"/>
      <w:sz w:val="18"/>
      <w:szCs w:val="18"/>
    </w:rPr>
  </w:style>
  <w:style w:type="paragraph" w:styleId="24">
    <w:name w:val="List Paragraph"/>
    <w:basedOn w:val="1"/>
    <w:qFormat/>
    <w:uiPriority w:val="34"/>
    <w:pPr>
      <w:ind w:firstLine="420" w:firstLineChars="200"/>
    </w:pPr>
  </w:style>
  <w:style w:type="paragraph" w:customStyle="1" w:styleId="25">
    <w:name w:val="Other|1"/>
    <w:basedOn w:val="1"/>
    <w:qFormat/>
    <w:uiPriority w:val="0"/>
    <w:pPr>
      <w:spacing w:line="388" w:lineRule="auto"/>
      <w:ind w:firstLine="400"/>
      <w:jc w:val="left"/>
    </w:pPr>
    <w:rPr>
      <w:rFonts w:ascii="宋体" w:hAnsi="宋体" w:cs="宋体"/>
      <w:color w:val="000000"/>
    </w:rPr>
  </w:style>
  <w:style w:type="paragraph" w:customStyle="1" w:styleId="26">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2322</Words>
  <Characters>2478</Characters>
  <Lines>57</Lines>
  <Paragraphs>16</Paragraphs>
  <TotalTime>8</TotalTime>
  <ScaleCrop>false</ScaleCrop>
  <LinksUpToDate>false</LinksUpToDate>
  <CharactersWithSpaces>2503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2021-08-02T16:51:00Z</dcterms:created>
  <dc:creator>徐振</dc:creator>
  <cp:lastModifiedBy>傅银娜</cp:lastModifiedBy>
  <cp:lastPrinted>2023-06-29T14:41:00Z</cp:lastPrinted>
  <dcterms:modified xsi:type="dcterms:W3CDTF">2024-05-22T01:52:06Z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B7986BF356D54752972BEBB089B2028D_13</vt:lpwstr>
  </property>
</Properties>
</file>