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23738">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深圳市政协2024年提案工作清单（</w:t>
      </w:r>
      <w:r>
        <w:rPr>
          <w:rFonts w:hint="eastAsia" w:ascii="方正小标宋简体" w:hAnsi="方正小标宋简体" w:eastAsia="方正小标宋简体" w:cs="方正小标宋简体"/>
          <w:sz w:val="44"/>
          <w:szCs w:val="44"/>
          <w:lang w:val="en-US" w:eastAsia="zh-CN"/>
        </w:rPr>
        <w:t>20240269</w:t>
      </w:r>
      <w:r>
        <w:rPr>
          <w:rFonts w:hint="eastAsia" w:ascii="方正小标宋简体" w:hAnsi="方正小标宋简体" w:eastAsia="方正小标宋简体" w:cs="方正小标宋简体"/>
          <w:sz w:val="44"/>
          <w:szCs w:val="44"/>
        </w:rPr>
        <w:t>）</w:t>
      </w:r>
    </w:p>
    <w:p w14:paraId="53EF2B92">
      <w:pPr>
        <w:jc w:val="left"/>
        <w:rPr>
          <w:sz w:val="24"/>
        </w:rPr>
      </w:pPr>
    </w:p>
    <w:p w14:paraId="446E302D">
      <w:pPr>
        <w:jc w:val="left"/>
        <w:rPr>
          <w:sz w:val="24"/>
        </w:rPr>
      </w:pPr>
      <w:r>
        <w:rPr>
          <w:rFonts w:hint="eastAsia"/>
          <w:sz w:val="24"/>
        </w:rPr>
        <w:t>填报单位：深圳市市场监督管理局</w:t>
      </w:r>
      <w:r>
        <w:rPr>
          <w:sz w:val="24"/>
        </w:rPr>
        <w:t xml:space="preserve">                                                 </w:t>
      </w:r>
      <w:r>
        <w:rPr>
          <w:rFonts w:hint="eastAsia"/>
          <w:sz w:val="24"/>
        </w:rPr>
        <w:t>时间：</w:t>
      </w:r>
      <w:r>
        <w:rPr>
          <w:sz w:val="24"/>
        </w:rPr>
        <w:t>2</w:t>
      </w:r>
      <w:r>
        <w:rPr>
          <w:rFonts w:hint="eastAsia"/>
          <w:sz w:val="24"/>
        </w:rPr>
        <w:t>024年</w:t>
      </w:r>
      <w:r>
        <w:rPr>
          <w:rFonts w:hint="eastAsia"/>
          <w:sz w:val="24"/>
          <w:lang w:val="en-US" w:eastAsia="zh-CN"/>
        </w:rPr>
        <w:t>6</w:t>
      </w:r>
      <w:r>
        <w:rPr>
          <w:rFonts w:hint="eastAsia"/>
          <w:sz w:val="24"/>
        </w:rPr>
        <w:t>月</w:t>
      </w:r>
      <w:r>
        <w:rPr>
          <w:rFonts w:hint="eastAsia"/>
          <w:sz w:val="24"/>
          <w:lang w:val="en-US" w:eastAsia="zh-CN"/>
        </w:rPr>
        <w:t>13</w:t>
      </w:r>
      <w:r>
        <w:rPr>
          <w:rFonts w:hint="eastAsia"/>
          <w:sz w:val="24"/>
        </w:rPr>
        <w:t>日</w:t>
      </w:r>
    </w:p>
    <w:p w14:paraId="6A6CE6DA">
      <w:pPr>
        <w:jc w:val="left"/>
        <w:rPr>
          <w:sz w:val="24"/>
        </w:rPr>
      </w:pPr>
    </w:p>
    <w:tbl>
      <w:tblPr>
        <w:tblStyle w:val="4"/>
        <w:tblW w:w="14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1135"/>
        <w:gridCol w:w="851"/>
        <w:gridCol w:w="1229"/>
        <w:gridCol w:w="1324"/>
        <w:gridCol w:w="1969"/>
        <w:gridCol w:w="1984"/>
        <w:gridCol w:w="1843"/>
        <w:gridCol w:w="1843"/>
        <w:gridCol w:w="1437"/>
      </w:tblGrid>
      <w:tr w14:paraId="62A10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830" w:type="dxa"/>
            <w:vMerge w:val="restart"/>
            <w:tcBorders>
              <w:top w:val="single" w:color="auto" w:sz="4" w:space="0"/>
              <w:left w:val="single" w:color="auto" w:sz="4" w:space="0"/>
              <w:right w:val="single" w:color="auto" w:sz="4" w:space="0"/>
            </w:tcBorders>
            <w:noWrap w:val="0"/>
            <w:vAlign w:val="center"/>
          </w:tcPr>
          <w:p w14:paraId="3365A94A">
            <w:pPr>
              <w:jc w:val="center"/>
              <w:rPr>
                <w:rFonts w:hint="eastAsia" w:ascii="宋体" w:hAnsi="宋体" w:eastAsia="宋体" w:cs="宋体"/>
                <w:kern w:val="0"/>
                <w:szCs w:val="21"/>
                <w:lang w:eastAsia="zh-CN" w:bidi="ar"/>
              </w:rPr>
            </w:pPr>
            <w:r>
              <w:rPr>
                <w:rFonts w:hint="eastAsia" w:ascii="宋体" w:hAnsi="宋体" w:eastAsia="宋体" w:cs="宋体"/>
                <w:kern w:val="0"/>
                <w:szCs w:val="21"/>
                <w:lang w:val="en-US" w:eastAsia="zh-CN" w:bidi="ar"/>
              </w:rPr>
              <w:t>20240269</w:t>
            </w:r>
          </w:p>
        </w:tc>
        <w:tc>
          <w:tcPr>
            <w:tcW w:w="1135" w:type="dxa"/>
            <w:vMerge w:val="restart"/>
            <w:tcBorders>
              <w:top w:val="single" w:color="auto" w:sz="4" w:space="0"/>
              <w:left w:val="single" w:color="auto" w:sz="4" w:space="0"/>
              <w:right w:val="single" w:color="auto" w:sz="4" w:space="0"/>
            </w:tcBorders>
            <w:noWrap w:val="0"/>
            <w:vAlign w:val="center"/>
          </w:tcPr>
          <w:p w14:paraId="40850DAB">
            <w:pPr>
              <w:jc w:val="center"/>
              <w:rPr>
                <w:rFonts w:hint="eastAsia" w:ascii="宋体" w:hAnsi="宋体" w:eastAsia="宋体" w:cs="宋体"/>
                <w:kern w:val="0"/>
                <w:szCs w:val="21"/>
                <w:lang w:eastAsia="zh-CN" w:bidi="ar"/>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检验检测是国家重点支持发展的高技术服务业、科技服务业和生产性服务业，是现代产业体系的重要技术基础，对提升产品质量、推动产业升级、服务科技创新等方面具有重要支撑引领作用。近年来，伴随着深圳制造业的发展，检验检测行业高速发展，市场规模不断壮大。截止2022年底，全市通过CMA资质认定的检验检测机构超过900家，近四年年均增长率超过20%。 检验检测行业虽然工业产值不高，但是其服务的企业数量多，链条长。检验检测机构不仅为大型企业服务，更多可以为中小企业服务，降低中小企业经营成本。检测认证行业不仅提供产品检测服务，还参与企业从产品研发、设计、制造、测试、销售等全产业链之中，成功链接了供给端和需求端，在产业维度方面越来越体现为供给端与需求端的高度匹配和融合发展，尤其先进制造业与高技术生产性服务的融合。一家大型检测机构服务上万甚至十万家企业。</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br w:type="textWrapping"/>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存在的问题及主要原因：检测认证行业服务涉及的行业广泛，市场监管及认监委赋有监管职责但是没有推动检测认证行业做大做强的责任，行业发展缺乏政府有力推动与引导。行业企业遇到困难时只能依靠自身解决，受制于空间的限制和经营成本的上升，近年来出现了明显的外溢现象。例如相比于会计、信用、知识产权、广告等现代服务业，检验检测行业需要建设实验室，场地空间需求比较大，部分实验室的仪器设备和检测条件还对房屋的高度、承重和环境有特别要求。随着深圳物业租金等经营成本的不断上涨，不少依靠租赁场地的深圳本土检验检测机构不断向深圳外围迁移。</w:t>
            </w:r>
            <w:r>
              <w:rPr>
                <w:rFonts w:hint="eastAsia" w:ascii="宋体" w:hAnsi="宋体" w:eastAsia="宋体" w:cs="宋体"/>
                <w:kern w:val="0"/>
                <w:szCs w:val="21"/>
                <w:lang w:eastAsia="zh-CN" w:bidi="ar"/>
              </w:rPr>
              <w:t>
</w:t>
            </w:r>
            <w:r>
              <w:rPr>
                <w:rFonts w:hint="eastAsia" w:ascii="宋体" w:hAnsi="宋体" w:eastAsia="宋体" w:cs="宋体"/>
                <w:kern w:val="0"/>
                <w:szCs w:val="21"/>
                <w:lang w:eastAsia="zh-CN" w:bidi="ar"/>
              </w:rPr>
              <w:br w:type="textWrapping"/>
            </w:r>
          </w:p>
        </w:tc>
        <w:tc>
          <w:tcPr>
            <w:tcW w:w="851" w:type="dxa"/>
            <w:vMerge w:val="restart"/>
            <w:tcBorders>
              <w:top w:val="single" w:color="auto" w:sz="4" w:space="0"/>
              <w:left w:val="single" w:color="auto" w:sz="4" w:space="0"/>
              <w:right w:val="single" w:color="auto" w:sz="4" w:space="0"/>
            </w:tcBorders>
            <w:noWrap w:val="0"/>
            <w:vAlign w:val="center"/>
          </w:tcPr>
          <w:p w14:paraId="7B9B189C">
            <w:pPr>
              <w:jc w:val="center"/>
              <w:rPr>
                <w:rFonts w:hint="eastAsia" w:ascii="宋体" w:hAnsi="宋体" w:eastAsia="宋体" w:cs="宋体"/>
                <w:kern w:val="0"/>
                <w:szCs w:val="21"/>
                <w:lang w:eastAsia="zh-CN" w:bidi="ar"/>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姜华</w:t>
            </w:r>
          </w:p>
        </w:tc>
        <w:tc>
          <w:tcPr>
            <w:tcW w:w="2553" w:type="dxa"/>
            <w:gridSpan w:val="2"/>
            <w:tcBorders>
              <w:top w:val="single" w:color="auto" w:sz="4" w:space="0"/>
              <w:left w:val="single" w:color="auto" w:sz="4" w:space="0"/>
              <w:bottom w:val="single" w:color="auto" w:sz="4" w:space="0"/>
              <w:right w:val="single" w:color="auto" w:sz="4" w:space="0"/>
            </w:tcBorders>
            <w:noWrap w:val="0"/>
            <w:vAlign w:val="center"/>
          </w:tcPr>
          <w:p w14:paraId="523172F8">
            <w:pPr>
              <w:jc w:val="center"/>
              <w:rPr>
                <w:rFonts w:hint="eastAsia" w:ascii="宋体" w:hAnsi="宋体" w:eastAsia="宋体" w:cs="宋体"/>
                <w:b/>
                <w:bCs/>
                <w:kern w:val="0"/>
                <w:szCs w:val="21"/>
                <w:lang w:eastAsia="zh-CN" w:bidi="ar"/>
              </w:rPr>
            </w:pPr>
            <w:r>
              <w:rPr>
                <w:rFonts w:hint="eastAsia" w:ascii="宋体" w:hAnsi="宋体" w:eastAsia="宋体" w:cs="宋体"/>
                <w:b/>
                <w:bCs/>
                <w:kern w:val="0"/>
                <w:szCs w:val="21"/>
                <w:lang w:eastAsia="zh-CN" w:bidi="ar"/>
              </w:rPr>
              <w:t>办理单位</w:t>
            </w:r>
          </w:p>
        </w:tc>
        <w:tc>
          <w:tcPr>
            <w:tcW w:w="1969" w:type="dxa"/>
            <w:vMerge w:val="restart"/>
            <w:tcBorders>
              <w:top w:val="single" w:color="auto" w:sz="4" w:space="0"/>
              <w:left w:val="single" w:color="auto" w:sz="4" w:space="0"/>
              <w:bottom w:val="single" w:color="auto" w:sz="4" w:space="0"/>
              <w:right w:val="single" w:color="auto" w:sz="4" w:space="0"/>
            </w:tcBorders>
            <w:noWrap w:val="0"/>
            <w:vAlign w:val="center"/>
          </w:tcPr>
          <w:p w14:paraId="45514F6A">
            <w:pPr>
              <w:jc w:val="center"/>
              <w:rPr>
                <w:rFonts w:hint="eastAsia" w:ascii="宋体" w:hAnsi="宋体" w:eastAsia="宋体" w:cs="宋体"/>
                <w:kern w:val="0"/>
                <w:szCs w:val="21"/>
                <w:lang w:eastAsia="zh-CN" w:bidi="ar"/>
              </w:rPr>
            </w:pPr>
            <w:r>
              <w:rPr>
                <w:rFonts w:hint="eastAsia" w:ascii="宋体" w:hAnsi="宋体" w:eastAsia="宋体" w:cs="宋体"/>
                <w:b/>
                <w:bCs/>
                <w:kern w:val="0"/>
                <w:szCs w:val="21"/>
                <w:lang w:eastAsia="zh-CN" w:bidi="ar"/>
              </w:rPr>
              <w:t>提案意见建议</w:t>
            </w:r>
          </w:p>
        </w:tc>
        <w:tc>
          <w:tcPr>
            <w:tcW w:w="1984" w:type="dxa"/>
            <w:vMerge w:val="restart"/>
            <w:tcBorders>
              <w:top w:val="single" w:color="auto" w:sz="4" w:space="0"/>
              <w:left w:val="single" w:color="auto" w:sz="4" w:space="0"/>
              <w:bottom w:val="single" w:color="auto" w:sz="4" w:space="0"/>
              <w:right w:val="single" w:color="auto" w:sz="4" w:space="0"/>
            </w:tcBorders>
            <w:noWrap w:val="0"/>
            <w:vAlign w:val="center"/>
          </w:tcPr>
          <w:p w14:paraId="4C9FCBF4">
            <w:pPr>
              <w:jc w:val="center"/>
              <w:rPr>
                <w:rFonts w:ascii="黑体" w:hAnsi="黑体" w:eastAsia="黑体"/>
                <w:b/>
                <w:kern w:val="0"/>
                <w:szCs w:val="21"/>
              </w:rPr>
            </w:pPr>
            <w:r>
              <w:rPr>
                <w:rFonts w:hint="eastAsia" w:ascii="黑体" w:hAnsi="黑体" w:eastAsia="黑体"/>
                <w:b/>
                <w:kern w:val="0"/>
                <w:szCs w:val="21"/>
              </w:rPr>
              <w:t>当年完成的事项</w:t>
            </w:r>
          </w:p>
        </w:tc>
        <w:tc>
          <w:tcPr>
            <w:tcW w:w="1843" w:type="dxa"/>
            <w:vMerge w:val="restart"/>
            <w:tcBorders>
              <w:top w:val="single" w:color="auto" w:sz="4" w:space="0"/>
              <w:left w:val="single" w:color="auto" w:sz="4" w:space="0"/>
              <w:bottom w:val="single" w:color="auto" w:sz="4" w:space="0"/>
              <w:right w:val="single" w:color="auto" w:sz="4" w:space="0"/>
            </w:tcBorders>
            <w:noWrap w:val="0"/>
            <w:vAlign w:val="center"/>
          </w:tcPr>
          <w:p w14:paraId="44703AE0">
            <w:pPr>
              <w:jc w:val="center"/>
              <w:rPr>
                <w:rFonts w:ascii="黑体" w:hAnsi="黑体" w:eastAsia="黑体"/>
                <w:b/>
                <w:kern w:val="0"/>
                <w:szCs w:val="21"/>
              </w:rPr>
            </w:pPr>
            <w:r>
              <w:rPr>
                <w:rFonts w:hint="eastAsia" w:ascii="黑体" w:hAnsi="黑体" w:eastAsia="黑体"/>
                <w:b/>
                <w:kern w:val="0"/>
                <w:szCs w:val="21"/>
              </w:rPr>
              <w:t>当年推动的工作</w:t>
            </w:r>
          </w:p>
        </w:tc>
        <w:tc>
          <w:tcPr>
            <w:tcW w:w="1843" w:type="dxa"/>
            <w:vMerge w:val="restart"/>
            <w:tcBorders>
              <w:top w:val="single" w:color="auto" w:sz="4" w:space="0"/>
              <w:left w:val="single" w:color="auto" w:sz="4" w:space="0"/>
              <w:bottom w:val="single" w:color="auto" w:sz="4" w:space="0"/>
              <w:right w:val="single" w:color="auto" w:sz="4" w:space="0"/>
            </w:tcBorders>
            <w:noWrap w:val="0"/>
            <w:vAlign w:val="center"/>
          </w:tcPr>
          <w:p w14:paraId="439BA8A9">
            <w:pPr>
              <w:jc w:val="center"/>
              <w:rPr>
                <w:rFonts w:ascii="黑体" w:hAnsi="黑体" w:eastAsia="黑体"/>
                <w:b/>
                <w:kern w:val="0"/>
                <w:szCs w:val="21"/>
              </w:rPr>
            </w:pPr>
            <w:r>
              <w:rPr>
                <w:rFonts w:hint="eastAsia" w:ascii="黑体" w:hAnsi="黑体" w:eastAsia="黑体"/>
                <w:b/>
                <w:kern w:val="0"/>
                <w:szCs w:val="21"/>
              </w:rPr>
              <w:t>明年待落实事项</w:t>
            </w:r>
          </w:p>
        </w:tc>
        <w:tc>
          <w:tcPr>
            <w:tcW w:w="1437" w:type="dxa"/>
            <w:vMerge w:val="restart"/>
            <w:tcBorders>
              <w:top w:val="single" w:color="auto" w:sz="4" w:space="0"/>
              <w:left w:val="single" w:color="auto" w:sz="4" w:space="0"/>
              <w:bottom w:val="single" w:color="auto" w:sz="4" w:space="0"/>
              <w:right w:val="single" w:color="auto" w:sz="4" w:space="0"/>
            </w:tcBorders>
            <w:noWrap w:val="0"/>
            <w:vAlign w:val="center"/>
          </w:tcPr>
          <w:p w14:paraId="27F10742">
            <w:pPr>
              <w:jc w:val="center"/>
              <w:rPr>
                <w:rFonts w:ascii="黑体" w:hAnsi="黑体" w:eastAsia="黑体"/>
                <w:b/>
                <w:kern w:val="0"/>
                <w:szCs w:val="21"/>
              </w:rPr>
            </w:pPr>
            <w:r>
              <w:rPr>
                <w:rFonts w:hint="eastAsia" w:ascii="黑体" w:hAnsi="黑体" w:eastAsia="黑体"/>
                <w:b/>
                <w:kern w:val="0"/>
                <w:szCs w:val="21"/>
              </w:rPr>
              <w:t>备 注</w:t>
            </w:r>
          </w:p>
        </w:tc>
      </w:tr>
      <w:tr w14:paraId="2F5D5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830" w:type="dxa"/>
            <w:vMerge w:val="continue"/>
            <w:tcBorders>
              <w:left w:val="single" w:color="auto" w:sz="4" w:space="0"/>
              <w:right w:val="single" w:color="auto" w:sz="4" w:space="0"/>
            </w:tcBorders>
            <w:noWrap w:val="0"/>
            <w:vAlign w:val="center"/>
          </w:tcPr>
          <w:p w14:paraId="696E29C3">
            <w:pPr>
              <w:jc w:val="center"/>
              <w:rPr>
                <w:rFonts w:hint="eastAsia" w:ascii="宋体" w:hAnsi="宋体" w:eastAsia="宋体" w:cs="宋体"/>
                <w:kern w:val="0"/>
                <w:szCs w:val="21"/>
                <w:lang w:eastAsia="zh-CN" w:bidi="ar"/>
              </w:rPr>
            </w:pPr>
          </w:p>
        </w:tc>
        <w:tc>
          <w:tcPr>
            <w:tcW w:w="1135" w:type="dxa"/>
            <w:vMerge w:val="continue"/>
            <w:tcBorders>
              <w:left w:val="single" w:color="auto" w:sz="4" w:space="0"/>
              <w:right w:val="single" w:color="auto" w:sz="4" w:space="0"/>
            </w:tcBorders>
            <w:noWrap w:val="0"/>
            <w:vAlign w:val="center"/>
          </w:tcPr>
          <w:p w14:paraId="05720BBF">
            <w:pPr>
              <w:jc w:val="center"/>
              <w:rPr>
                <w:rFonts w:hint="eastAsia" w:ascii="宋体" w:hAnsi="宋体" w:eastAsia="宋体" w:cs="宋体"/>
                <w:kern w:val="0"/>
                <w:szCs w:val="21"/>
                <w:lang w:eastAsia="zh-CN" w:bidi="ar"/>
              </w:rPr>
            </w:pPr>
          </w:p>
        </w:tc>
        <w:tc>
          <w:tcPr>
            <w:tcW w:w="851" w:type="dxa"/>
            <w:vMerge w:val="continue"/>
            <w:tcBorders>
              <w:left w:val="single" w:color="auto" w:sz="4" w:space="0"/>
              <w:right w:val="single" w:color="auto" w:sz="4" w:space="0"/>
            </w:tcBorders>
            <w:noWrap w:val="0"/>
            <w:vAlign w:val="center"/>
          </w:tcPr>
          <w:p w14:paraId="4833003D">
            <w:pPr>
              <w:jc w:val="center"/>
              <w:rPr>
                <w:rFonts w:hint="eastAsia" w:ascii="宋体" w:hAnsi="宋体" w:eastAsia="宋体" w:cs="宋体"/>
                <w:kern w:val="0"/>
                <w:szCs w:val="21"/>
                <w:lang w:eastAsia="zh-CN" w:bidi="ar"/>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71E55752">
            <w:pPr>
              <w:jc w:val="center"/>
              <w:rPr>
                <w:rFonts w:hint="eastAsia" w:ascii="宋体" w:hAnsi="宋体" w:eastAsia="宋体" w:cs="宋体"/>
                <w:b/>
                <w:bCs/>
                <w:kern w:val="0"/>
                <w:szCs w:val="21"/>
                <w:lang w:eastAsia="zh-CN" w:bidi="ar"/>
              </w:rPr>
            </w:pPr>
            <w:r>
              <w:rPr>
                <w:rFonts w:hint="eastAsia" w:ascii="宋体" w:hAnsi="宋体" w:eastAsia="宋体" w:cs="宋体"/>
                <w:b/>
                <w:bCs/>
                <w:kern w:val="0"/>
                <w:szCs w:val="21"/>
                <w:lang w:eastAsia="zh-CN" w:bidi="ar"/>
              </w:rPr>
              <w:t>承办</w:t>
            </w:r>
          </w:p>
          <w:p w14:paraId="55A1FE8C">
            <w:pPr>
              <w:jc w:val="center"/>
              <w:rPr>
                <w:rFonts w:hint="eastAsia" w:ascii="宋体" w:hAnsi="宋体" w:eastAsia="宋体" w:cs="宋体"/>
                <w:b/>
                <w:bCs/>
                <w:kern w:val="0"/>
                <w:szCs w:val="21"/>
                <w:lang w:eastAsia="zh-CN" w:bidi="ar"/>
              </w:rPr>
            </w:pPr>
            <w:r>
              <w:rPr>
                <w:rFonts w:hint="eastAsia" w:ascii="宋体" w:hAnsi="宋体" w:eastAsia="宋体" w:cs="宋体"/>
                <w:b/>
                <w:bCs/>
                <w:kern w:val="0"/>
                <w:szCs w:val="21"/>
                <w:lang w:eastAsia="zh-CN" w:bidi="ar"/>
              </w:rPr>
              <w:t>（主办）</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545CD0CB">
            <w:pPr>
              <w:jc w:val="center"/>
              <w:rPr>
                <w:rFonts w:hint="eastAsia" w:ascii="宋体" w:hAnsi="宋体" w:eastAsia="宋体" w:cs="宋体"/>
                <w:b/>
                <w:bCs/>
                <w:kern w:val="0"/>
                <w:szCs w:val="21"/>
                <w:lang w:eastAsia="zh-CN" w:bidi="ar"/>
              </w:rPr>
            </w:pPr>
            <w:r>
              <w:rPr>
                <w:rFonts w:hint="eastAsia" w:ascii="宋体" w:hAnsi="宋体" w:eastAsia="宋体" w:cs="宋体"/>
                <w:b/>
                <w:bCs/>
                <w:kern w:val="0"/>
                <w:szCs w:val="21"/>
                <w:lang w:eastAsia="zh-CN" w:bidi="ar"/>
              </w:rPr>
              <w:t>分办</w:t>
            </w:r>
          </w:p>
          <w:p w14:paraId="73E77DDC">
            <w:pPr>
              <w:jc w:val="center"/>
              <w:rPr>
                <w:rFonts w:hint="eastAsia" w:ascii="宋体" w:hAnsi="宋体" w:eastAsia="宋体" w:cs="宋体"/>
                <w:b/>
                <w:bCs/>
                <w:kern w:val="0"/>
                <w:szCs w:val="21"/>
                <w:lang w:eastAsia="zh-CN" w:bidi="ar"/>
              </w:rPr>
            </w:pPr>
            <w:r>
              <w:rPr>
                <w:rFonts w:hint="eastAsia" w:ascii="宋体" w:hAnsi="宋体" w:eastAsia="宋体" w:cs="宋体"/>
                <w:b/>
                <w:bCs/>
                <w:kern w:val="0"/>
                <w:szCs w:val="21"/>
                <w:lang w:eastAsia="zh-CN" w:bidi="ar"/>
              </w:rPr>
              <w:t>（会办）</w:t>
            </w:r>
          </w:p>
        </w:tc>
        <w:tc>
          <w:tcPr>
            <w:tcW w:w="1969" w:type="dxa"/>
            <w:vMerge w:val="continue"/>
            <w:tcBorders>
              <w:top w:val="single" w:color="auto" w:sz="4" w:space="0"/>
              <w:left w:val="single" w:color="auto" w:sz="4" w:space="0"/>
              <w:bottom w:val="single" w:color="auto" w:sz="4" w:space="0"/>
              <w:right w:val="single" w:color="auto" w:sz="4" w:space="0"/>
            </w:tcBorders>
            <w:noWrap w:val="0"/>
            <w:vAlign w:val="center"/>
          </w:tcPr>
          <w:p w14:paraId="181DD043">
            <w:pPr>
              <w:jc w:val="center"/>
              <w:rPr>
                <w:rFonts w:hint="eastAsia" w:ascii="宋体" w:hAnsi="宋体" w:eastAsia="宋体" w:cs="宋体"/>
                <w:kern w:val="0"/>
                <w:szCs w:val="21"/>
                <w:lang w:eastAsia="zh-CN" w:bidi="ar"/>
              </w:rPr>
            </w:pPr>
          </w:p>
        </w:tc>
        <w:tc>
          <w:tcPr>
            <w:tcW w:w="1984" w:type="dxa"/>
            <w:vMerge w:val="continue"/>
            <w:tcBorders>
              <w:top w:val="single" w:color="auto" w:sz="4" w:space="0"/>
              <w:left w:val="single" w:color="auto" w:sz="4" w:space="0"/>
              <w:bottom w:val="single" w:color="auto" w:sz="4" w:space="0"/>
              <w:right w:val="single" w:color="auto" w:sz="4" w:space="0"/>
            </w:tcBorders>
            <w:noWrap w:val="0"/>
            <w:vAlign w:val="center"/>
          </w:tcPr>
          <w:p w14:paraId="3768F090">
            <w:pPr>
              <w:widowControl/>
              <w:jc w:val="center"/>
              <w:rPr>
                <w:rFonts w:ascii="黑体" w:hAnsi="黑体" w:eastAsia="黑体"/>
                <w:b/>
                <w:kern w:val="0"/>
                <w:szCs w:val="21"/>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14:paraId="25C27A14">
            <w:pPr>
              <w:widowControl/>
              <w:jc w:val="center"/>
              <w:rPr>
                <w:rFonts w:ascii="黑体" w:hAnsi="黑体" w:eastAsia="黑体"/>
                <w:b/>
                <w:kern w:val="0"/>
                <w:szCs w:val="21"/>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14:paraId="46543578">
            <w:pPr>
              <w:widowControl/>
              <w:jc w:val="center"/>
              <w:rPr>
                <w:rFonts w:ascii="黑体" w:hAnsi="黑体" w:eastAsia="黑体"/>
                <w:b/>
                <w:kern w:val="0"/>
                <w:szCs w:val="21"/>
              </w:rPr>
            </w:pPr>
          </w:p>
        </w:tc>
        <w:tc>
          <w:tcPr>
            <w:tcW w:w="1437" w:type="dxa"/>
            <w:vMerge w:val="continue"/>
            <w:tcBorders>
              <w:top w:val="single" w:color="auto" w:sz="4" w:space="0"/>
              <w:left w:val="single" w:color="auto" w:sz="4" w:space="0"/>
              <w:bottom w:val="single" w:color="auto" w:sz="4" w:space="0"/>
              <w:right w:val="single" w:color="auto" w:sz="4" w:space="0"/>
            </w:tcBorders>
            <w:noWrap w:val="0"/>
            <w:vAlign w:val="center"/>
          </w:tcPr>
          <w:p w14:paraId="4A707948">
            <w:pPr>
              <w:widowControl/>
              <w:jc w:val="left"/>
              <w:rPr>
                <w:rFonts w:ascii="黑体" w:hAnsi="黑体" w:eastAsia="黑体"/>
                <w:b/>
                <w:kern w:val="0"/>
                <w:szCs w:val="21"/>
              </w:rPr>
            </w:pPr>
          </w:p>
        </w:tc>
      </w:tr>
      <w:tr w14:paraId="43266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830" w:type="dxa"/>
            <w:vMerge w:val="continue"/>
            <w:tcBorders>
              <w:left w:val="single" w:color="auto" w:sz="4" w:space="0"/>
              <w:right w:val="single" w:color="auto" w:sz="4" w:space="0"/>
            </w:tcBorders>
            <w:noWrap w:val="0"/>
            <w:vAlign w:val="center"/>
          </w:tcPr>
          <w:p w14:paraId="30D7650D">
            <w:pPr>
              <w:jc w:val="center"/>
              <w:rPr>
                <w:rFonts w:hint="eastAsia" w:ascii="宋体" w:hAnsi="宋体" w:eastAsia="宋体" w:cs="宋体"/>
                <w:kern w:val="0"/>
                <w:szCs w:val="21"/>
                <w:lang w:eastAsia="zh-CN" w:bidi="ar"/>
              </w:rPr>
            </w:pPr>
          </w:p>
        </w:tc>
        <w:tc>
          <w:tcPr>
            <w:tcW w:w="1135" w:type="dxa"/>
            <w:vMerge w:val="continue"/>
            <w:tcBorders>
              <w:left w:val="single" w:color="auto" w:sz="4" w:space="0"/>
              <w:right w:val="single" w:color="auto" w:sz="4" w:space="0"/>
            </w:tcBorders>
            <w:noWrap w:val="0"/>
            <w:vAlign w:val="center"/>
          </w:tcPr>
          <w:p w14:paraId="12BF1353">
            <w:pPr>
              <w:jc w:val="center"/>
              <w:rPr>
                <w:rFonts w:hint="eastAsia" w:ascii="宋体" w:hAnsi="宋体" w:eastAsia="宋体" w:cs="宋体"/>
                <w:kern w:val="0"/>
                <w:szCs w:val="21"/>
                <w:lang w:eastAsia="zh-CN" w:bidi="ar"/>
              </w:rPr>
            </w:pPr>
          </w:p>
        </w:tc>
        <w:tc>
          <w:tcPr>
            <w:tcW w:w="851" w:type="dxa"/>
            <w:vMerge w:val="continue"/>
            <w:tcBorders>
              <w:left w:val="single" w:color="auto" w:sz="4" w:space="0"/>
              <w:right w:val="single" w:color="auto" w:sz="4" w:space="0"/>
            </w:tcBorders>
            <w:noWrap w:val="0"/>
            <w:vAlign w:val="center"/>
          </w:tcPr>
          <w:p w14:paraId="55249A5E">
            <w:pPr>
              <w:jc w:val="center"/>
              <w:rPr>
                <w:rFonts w:hint="eastAsia" w:ascii="宋体" w:hAnsi="宋体" w:eastAsia="宋体" w:cs="宋体"/>
                <w:kern w:val="0"/>
                <w:szCs w:val="21"/>
                <w:lang w:eastAsia="zh-CN" w:bidi="ar"/>
              </w:rPr>
            </w:pPr>
          </w:p>
        </w:tc>
        <w:tc>
          <w:tcPr>
            <w:tcW w:w="1229" w:type="dxa"/>
            <w:vMerge w:val="restart"/>
            <w:tcBorders>
              <w:top w:val="single" w:color="auto" w:sz="4" w:space="0"/>
              <w:left w:val="single" w:color="auto" w:sz="4" w:space="0"/>
              <w:right w:val="single" w:color="auto" w:sz="4" w:space="0"/>
            </w:tcBorders>
            <w:noWrap w:val="0"/>
            <w:vAlign w:val="center"/>
          </w:tcPr>
          <w:p w14:paraId="7030BC81">
            <w:pPr>
              <w:jc w:val="center"/>
              <w:rPr>
                <w:rFonts w:hint="eastAsia" w:ascii="宋体" w:hAnsi="宋体" w:eastAsia="宋体" w:cs="宋体"/>
                <w:kern w:val="0"/>
                <w:szCs w:val="21"/>
                <w:lang w:eastAsia="zh-CN" w:bidi="ar"/>
              </w:rPr>
            </w:pPr>
            <w:r>
              <w:rPr>
                <w:rFonts w:hint="eastAsia" w:ascii="宋体" w:hAnsi="宋体" w:eastAsia="宋体" w:cs="宋体"/>
                <w:kern w:val="0"/>
                <w:szCs w:val="21"/>
                <w:lang w:eastAsia="zh-CN" w:bidi="ar"/>
              </w:rPr>
              <w:t>市市场监督管理局</w:t>
            </w:r>
          </w:p>
        </w:tc>
        <w:tc>
          <w:tcPr>
            <w:tcW w:w="1324" w:type="dxa"/>
            <w:vMerge w:val="restart"/>
            <w:tcBorders>
              <w:top w:val="single" w:color="auto" w:sz="4" w:space="0"/>
              <w:left w:val="single" w:color="auto" w:sz="4" w:space="0"/>
              <w:right w:val="single" w:color="auto" w:sz="4" w:space="0"/>
            </w:tcBorders>
            <w:noWrap w:val="0"/>
            <w:vAlign w:val="center"/>
          </w:tcPr>
          <w:p w14:paraId="2E681D3F">
            <w:pPr>
              <w:jc w:val="center"/>
              <w:rPr>
                <w:rFonts w:hint="eastAsia" w:ascii="宋体" w:hAnsi="宋体" w:eastAsia="宋体" w:cs="宋体"/>
                <w:kern w:val="0"/>
                <w:szCs w:val="21"/>
                <w:lang w:eastAsia="zh-CN" w:bidi="ar"/>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市发展和改革委员会,市工业和信息化局,宝安区人民政府,福田区人民政府,南山区人民政府,龙岗区人民政府,罗湖区人民政府,盐田区人民政府,光明区人民政府,坪山区人民政府,龙华区人民政府,大鹏新区管理委员会,深汕合作区管理委员会</w:t>
            </w:r>
          </w:p>
        </w:tc>
        <w:tc>
          <w:tcPr>
            <w:tcW w:w="1969" w:type="dxa"/>
            <w:tcBorders>
              <w:top w:val="single" w:color="auto" w:sz="4" w:space="0"/>
              <w:left w:val="single" w:color="auto" w:sz="4" w:space="0"/>
              <w:bottom w:val="single" w:color="auto" w:sz="4" w:space="0"/>
              <w:right w:val="single" w:color="auto" w:sz="4" w:space="0"/>
            </w:tcBorders>
            <w:noWrap w:val="0"/>
            <w:vAlign w:val="top"/>
          </w:tcPr>
          <w:p w14:paraId="26ACFFAC">
            <w:pPr>
              <w:jc w:val="center"/>
              <w:rPr>
                <w:rFonts w:hint="eastAsia" w:asciiTheme="majorEastAsia" w:hAnsiTheme="majorEastAsia" w:eastAsiaTheme="majorEastAsia" w:cstheme="majorEastAsia"/>
                <w:color w:val="000000" w:themeColor="text1"/>
                <w:sz w:val="21"/>
                <w:szCs w:val="21"/>
                <w:lang w:val="zh-CN"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建议一、指定主管部门，从纯监管变助发展，助力检测认证行业做大做强。</w:t>
            </w:r>
          </w:p>
        </w:tc>
        <w:tc>
          <w:tcPr>
            <w:tcW w:w="1984" w:type="dxa"/>
            <w:tcBorders>
              <w:top w:val="single" w:color="auto" w:sz="4" w:space="0"/>
              <w:left w:val="single" w:color="auto" w:sz="4" w:space="0"/>
              <w:bottom w:val="single" w:color="auto" w:sz="4" w:space="0"/>
              <w:right w:val="single" w:color="auto" w:sz="4" w:space="0"/>
            </w:tcBorders>
            <w:noWrap w:val="0"/>
            <w:vAlign w:val="top"/>
          </w:tcPr>
          <w:p w14:paraId="2E29FDA3">
            <w:pPr>
              <w:jc w:val="cente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2024年3月全市召开了服务业高质量发展大会。按照市委市政府对服务业的分工，市市场监管局负责质检技术服务业高质量发展相关工作。检测服务是质检技术服务业中最主要的部分。市市场监管局主要负责同志高度重视，亲自部署抓落实。</w:t>
            </w:r>
          </w:p>
          <w:p w14:paraId="48A48FA8">
            <w:pPr>
              <w:jc w:val="center"/>
              <w:rPr>
                <w:rFonts w:hint="default" w:ascii="宋体" w:hAnsi="宋体" w:eastAsia="宋体" w:cs="宋体"/>
                <w:kern w:val="0"/>
                <w:szCs w:val="21"/>
                <w:lang w:val="en-US" w:eastAsia="zh-CN" w:bidi="ar"/>
              </w:rPr>
            </w:pPr>
          </w:p>
        </w:tc>
        <w:tc>
          <w:tcPr>
            <w:tcW w:w="1843" w:type="dxa"/>
            <w:tcBorders>
              <w:top w:val="single" w:color="auto" w:sz="4" w:space="0"/>
              <w:left w:val="single" w:color="auto" w:sz="4" w:space="0"/>
              <w:bottom w:val="single" w:color="auto" w:sz="4" w:space="0"/>
              <w:right w:val="single" w:color="auto" w:sz="4" w:space="0"/>
            </w:tcBorders>
            <w:noWrap w:val="0"/>
            <w:vAlign w:val="top"/>
          </w:tcPr>
          <w:p w14:paraId="7FC13E17">
            <w:pPr>
              <w:jc w:val="left"/>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一是多次召开质检技术服务业工作部署会议。截止5月底，市市场监管局主要负责同志先后6次主持召开我局服务业发展工作会议，5次主持召开我局服务业高质量发展工作调度会，传达市委主要领导关于推动服务业高质量发展的有关指示，听取计量认证处等有关处室推进服务业高质量发展工作情况汇报，要求各单位要高度重视，密切配合、市区联动谋划我市质检技术服务业高质量发展工作，加大招商引资力度，加快工作措施文件的起草工作，建立健全推进工作机制，建立每周工作调度制度，积极走访企业，深入开展调查研究，等等。二是积极制定支持检验检测行业高质量发展的政策。市市场监管局组建专班起草了《深圳市推动检验检测服务业高质量发展工作举措》，已完成局务会审议流程。按照局领导要求，5月30日，召开了质检技术服务业头部企业调研座谈会，邀请全市质检技术服务业营业收入排名二十的头部企业参加座谈，现场对文件内容提出意见和建议。同时积极指导各区按照区政府的统一部署，出台扶持质检技术服务业的土地、财政、人才等各项支持政策，为行业发展提供良好的政策支持。</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南山区已</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于</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5月22日印发</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了</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《南山区推动检测服务业高质量发展实施方案》</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，宝安区、福田区、罗湖区等均已起草推动检测服务业高质量发展实施方案，依程序报批。</w:t>
            </w:r>
          </w:p>
          <w:p w14:paraId="52750018">
            <w:pPr>
              <w:jc w:val="left"/>
              <w:rPr>
                <w:rFonts w:hint="default" w:eastAsia="宋体"/>
                <w:lang w:val="en-US" w:eastAsia="zh-CN"/>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三是加大招商引资和市场主体培育力度。在招商引资方面：全面摸清检验检测行业全球、全国和深圳头部企业情况，制定了检验检测行业走访企业名单和招商引资企业名单，已完成走访企业33家。4月23日，市市场监管局主要负责同志带队赴北京对中国国检测试控股集团股份有限公司进行招商引资工作，该企业拟在深圳对新能源、新材料以及仪器设备方面进行投资。结合前期调研走访情况及深圳产业特点，5月21日，分管局领导带队赴上海、苏州调研上海季丰电子股份公司、必维集团上海总部、苏州苏试试验集团股份有限公司，开展头部企业招引工作。在市场主体</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培育</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方面：</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4月底，我局部署在全市开展检验检测机构第一批监督抽查工作。在今年的监督抽查工作中，在抽查范围和重点领域方面，要求各辖区局</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转变监管理念，</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贯彻落实全市服务业大会精神，</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从纯监管变助发展，</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聚焦重点服务企业。</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在现场检查中</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不能仅仅关注</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违法线索的发现与收集，</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更要收集和了解企业的问题和诉求，</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要</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充分</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发挥技术专家的管理优势，为机构内部管理、体系运行等提供技术指导和帮扶，助力机构规范内部运作，提升实验室管理水平，助力</w:t>
            </w:r>
            <w:r>
              <w:rPr>
                <w:rFonts w:hint="default" w:asciiTheme="majorEastAsia" w:hAnsiTheme="majorEastAsia" w:eastAsiaTheme="majorEastAsia" w:cstheme="majorEastAsia"/>
                <w:color w:val="000000" w:themeColor="text1"/>
                <w:sz w:val="21"/>
                <w:szCs w:val="21"/>
                <w:lang w:val="en-US" w:eastAsia="zh-CN"/>
                <w14:textFill>
                  <w14:solidFill>
                    <w14:schemeClr w14:val="tx1"/>
                  </w14:solidFill>
                </w14:textFill>
              </w:rPr>
              <w:t>机构做大做强</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w:t>
            </w:r>
          </w:p>
        </w:tc>
        <w:tc>
          <w:tcPr>
            <w:tcW w:w="1843" w:type="dxa"/>
            <w:tcBorders>
              <w:top w:val="single" w:color="auto" w:sz="4" w:space="0"/>
              <w:left w:val="single" w:color="auto" w:sz="4" w:space="0"/>
              <w:bottom w:val="single" w:color="auto" w:sz="4" w:space="0"/>
              <w:right w:val="single" w:color="auto" w:sz="4" w:space="0"/>
            </w:tcBorders>
            <w:noWrap w:val="0"/>
            <w:vAlign w:val="top"/>
          </w:tcPr>
          <w:p w14:paraId="75C22EFB">
            <w:pPr>
              <w:jc w:val="center"/>
              <w:rPr>
                <w:rFonts w:hint="default" w:ascii="宋体" w:hAnsi="宋体" w:eastAsia="宋体"/>
                <w:kern w:val="0"/>
                <w:szCs w:val="21"/>
                <w:lang w:val="en-US" w:eastAsia="zh-CN"/>
              </w:rPr>
            </w:pPr>
          </w:p>
        </w:tc>
        <w:tc>
          <w:tcPr>
            <w:tcW w:w="1437" w:type="dxa"/>
            <w:tcBorders>
              <w:top w:val="single" w:color="auto" w:sz="4" w:space="0"/>
              <w:left w:val="single" w:color="auto" w:sz="4" w:space="0"/>
              <w:bottom w:val="single" w:color="auto" w:sz="4" w:space="0"/>
              <w:right w:val="single" w:color="auto" w:sz="4" w:space="0"/>
            </w:tcBorders>
            <w:noWrap w:val="0"/>
            <w:vAlign w:val="center"/>
          </w:tcPr>
          <w:p w14:paraId="50FB9874">
            <w:pPr>
              <w:rPr>
                <w:rFonts w:ascii="宋体" w:hAnsi="宋体"/>
                <w:kern w:val="0"/>
                <w:szCs w:val="21"/>
              </w:rPr>
            </w:pPr>
          </w:p>
        </w:tc>
      </w:tr>
      <w:tr w14:paraId="367C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830" w:type="dxa"/>
            <w:vMerge w:val="continue"/>
            <w:tcBorders>
              <w:left w:val="single" w:color="auto" w:sz="4" w:space="0"/>
              <w:right w:val="single" w:color="auto" w:sz="4" w:space="0"/>
            </w:tcBorders>
            <w:noWrap w:val="0"/>
            <w:vAlign w:val="center"/>
          </w:tcPr>
          <w:p w14:paraId="3761327B">
            <w:pPr>
              <w:jc w:val="center"/>
              <w:rPr>
                <w:rFonts w:hint="eastAsia" w:ascii="宋体" w:hAnsi="宋体" w:eastAsia="宋体" w:cs="宋体"/>
                <w:kern w:val="0"/>
                <w:szCs w:val="21"/>
                <w:lang w:eastAsia="zh-CN" w:bidi="ar"/>
              </w:rPr>
            </w:pPr>
          </w:p>
        </w:tc>
        <w:tc>
          <w:tcPr>
            <w:tcW w:w="1135" w:type="dxa"/>
            <w:vMerge w:val="continue"/>
            <w:tcBorders>
              <w:left w:val="single" w:color="auto" w:sz="4" w:space="0"/>
              <w:right w:val="single" w:color="auto" w:sz="4" w:space="0"/>
            </w:tcBorders>
            <w:noWrap w:val="0"/>
            <w:vAlign w:val="center"/>
          </w:tcPr>
          <w:p w14:paraId="41F38179">
            <w:pPr>
              <w:jc w:val="center"/>
              <w:rPr>
                <w:rFonts w:hint="eastAsia" w:ascii="宋体" w:hAnsi="宋体" w:eastAsia="宋体" w:cs="宋体"/>
                <w:kern w:val="0"/>
                <w:szCs w:val="21"/>
                <w:lang w:eastAsia="zh-CN" w:bidi="ar"/>
              </w:rPr>
            </w:pPr>
          </w:p>
        </w:tc>
        <w:tc>
          <w:tcPr>
            <w:tcW w:w="851" w:type="dxa"/>
            <w:vMerge w:val="continue"/>
            <w:tcBorders>
              <w:left w:val="single" w:color="auto" w:sz="4" w:space="0"/>
              <w:right w:val="single" w:color="auto" w:sz="4" w:space="0"/>
            </w:tcBorders>
            <w:noWrap w:val="0"/>
            <w:vAlign w:val="center"/>
          </w:tcPr>
          <w:p w14:paraId="59D4ACD6">
            <w:pPr>
              <w:jc w:val="center"/>
              <w:rPr>
                <w:rFonts w:hint="eastAsia" w:ascii="宋体" w:hAnsi="宋体" w:eastAsia="宋体" w:cs="宋体"/>
                <w:kern w:val="0"/>
                <w:szCs w:val="21"/>
                <w:lang w:eastAsia="zh-CN" w:bidi="ar"/>
              </w:rPr>
            </w:pPr>
          </w:p>
        </w:tc>
        <w:tc>
          <w:tcPr>
            <w:tcW w:w="1229" w:type="dxa"/>
            <w:vMerge w:val="continue"/>
            <w:tcBorders>
              <w:left w:val="single" w:color="auto" w:sz="4" w:space="0"/>
              <w:right w:val="single" w:color="auto" w:sz="4" w:space="0"/>
            </w:tcBorders>
            <w:noWrap w:val="0"/>
            <w:vAlign w:val="center"/>
          </w:tcPr>
          <w:p w14:paraId="460D8AE1">
            <w:pPr>
              <w:jc w:val="center"/>
              <w:rPr>
                <w:rFonts w:hint="eastAsia" w:ascii="宋体" w:hAnsi="宋体" w:eastAsia="宋体" w:cs="宋体"/>
                <w:kern w:val="0"/>
                <w:szCs w:val="21"/>
                <w:lang w:eastAsia="zh-CN" w:bidi="ar"/>
              </w:rPr>
            </w:pPr>
          </w:p>
        </w:tc>
        <w:tc>
          <w:tcPr>
            <w:tcW w:w="1324" w:type="dxa"/>
            <w:vMerge w:val="continue"/>
            <w:tcBorders>
              <w:left w:val="single" w:color="auto" w:sz="4" w:space="0"/>
              <w:right w:val="single" w:color="auto" w:sz="4" w:space="0"/>
            </w:tcBorders>
            <w:noWrap w:val="0"/>
            <w:vAlign w:val="center"/>
          </w:tcPr>
          <w:p w14:paraId="55E06BD4">
            <w:pPr>
              <w:jc w:val="cente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pPr>
          </w:p>
        </w:tc>
        <w:tc>
          <w:tcPr>
            <w:tcW w:w="1969" w:type="dxa"/>
            <w:tcBorders>
              <w:top w:val="single" w:color="auto" w:sz="4" w:space="0"/>
              <w:left w:val="single" w:color="auto" w:sz="4" w:space="0"/>
              <w:bottom w:val="single" w:color="auto" w:sz="4" w:space="0"/>
              <w:right w:val="single" w:color="auto" w:sz="4" w:space="0"/>
            </w:tcBorders>
            <w:noWrap w:val="0"/>
            <w:vAlign w:val="top"/>
          </w:tcPr>
          <w:p w14:paraId="66B42096">
            <w:pPr>
              <w:jc w:val="cente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建议二、建议市工信、发改、科创等产业规划部门推动产业项目与检验检测服务共同布局。</w:t>
            </w:r>
          </w:p>
        </w:tc>
        <w:tc>
          <w:tcPr>
            <w:tcW w:w="1984" w:type="dxa"/>
            <w:tcBorders>
              <w:top w:val="single" w:color="auto" w:sz="4" w:space="0"/>
              <w:left w:val="single" w:color="auto" w:sz="4" w:space="0"/>
              <w:bottom w:val="single" w:color="auto" w:sz="4" w:space="0"/>
              <w:right w:val="single" w:color="auto" w:sz="4" w:space="0"/>
            </w:tcBorders>
            <w:noWrap w:val="0"/>
            <w:vAlign w:val="top"/>
          </w:tcPr>
          <w:p w14:paraId="29A7ACD0">
            <w:pPr>
              <w:numPr>
                <w:ilvl w:val="0"/>
                <w:numId w:val="1"/>
              </w:numPr>
              <w:jc w:val="cente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市发展改革委于2024年4月发布《2024年战略性新兴产业专项资金项目申报指南（第一批）》，围绕半导体与集成电路、生物医药、高端医疗器械领域，布局市级重大产业公共服务平台，提升平台新技术新产品中试熟化、试验验证、检验检测等支撑能力，促进公共资源的开放和共享,降低企业发展的成本与风险,提升研究开发和产业化的能级和水平。</w:t>
            </w:r>
          </w:p>
          <w:p w14:paraId="5928AE32">
            <w:pPr>
              <w:numPr>
                <w:ilvl w:val="0"/>
                <w:numId w:val="1"/>
              </w:numPr>
              <w:ind w:left="0" w:leftChars="0" w:firstLine="0" w:firstLineChars="0"/>
              <w:jc w:val="both"/>
              <w:rPr>
                <w:rFonts w:hint="eastAsia" w:asciiTheme="majorEastAsia" w:hAnsiTheme="majorEastAsia" w:eastAsiaTheme="majorEastAsia" w:cstheme="majorEastAsia"/>
                <w:color w:val="000000" w:themeColor="text1"/>
                <w:sz w:val="21"/>
                <w:szCs w:val="21"/>
                <w:lang w:val="zh-CN"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zh-CN" w:eastAsia="zh-CN"/>
                <w14:textFill>
                  <w14:solidFill>
                    <w14:schemeClr w14:val="tx1"/>
                  </w14:solidFill>
                </w14:textFill>
              </w:rPr>
              <w:t>市工业和信息化局积极开展服务型制造示范培育工作。2017年起，市工业和信息化局积极组织开展国家级和广东省级服务型制造示范遴选及评估工作。截至目前，全市共有14家平台被评为国家级服务型制造示范，9家平台被评为省级服务型制造示范。其中，华测检测、天溯计量、普瑞赛思等检验检测企业也均获评国家级服务型制造示范平台，发挥了示范带动效应。</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2024年</w:t>
            </w:r>
            <w:r>
              <w:rPr>
                <w:rFonts w:hint="eastAsia" w:asciiTheme="majorEastAsia" w:hAnsiTheme="majorEastAsia" w:eastAsiaTheme="majorEastAsia" w:cstheme="majorEastAsia"/>
                <w:color w:val="000000" w:themeColor="text1"/>
                <w:sz w:val="21"/>
                <w:szCs w:val="21"/>
                <w:lang w:val="zh-CN" w:eastAsia="zh-CN"/>
                <w14:textFill>
                  <w14:solidFill>
                    <w14:schemeClr w14:val="tx1"/>
                  </w14:solidFill>
                </w14:textFill>
              </w:rPr>
              <w:t>4月，为贯彻落实省委省政府《关于高质量建设制造强省的意见》，加快培育我省服务型制造新业态新模式，促进先进制造业与生产性服务业融合发展，市工业和信息化局积极开展市区联动，发动企业申报2024年广东省服务型制造示范，并组织线上培训和专家评审，向省工信厅推荐包括检验检测的示范平台共有12家。</w:t>
            </w:r>
          </w:p>
          <w:p w14:paraId="3B2D82F4">
            <w:pPr>
              <w:numPr>
                <w:ilvl w:val="0"/>
                <w:numId w:val="1"/>
              </w:numPr>
              <w:ind w:left="0" w:leftChars="0" w:firstLine="0" w:firstLineChars="0"/>
              <w:jc w:val="both"/>
              <w:rPr>
                <w:rFonts w:hint="default" w:ascii="宋体" w:hAnsi="宋体" w:eastAsia="宋体" w:cs="宋体"/>
                <w:kern w:val="0"/>
                <w:szCs w:val="21"/>
                <w:lang w:val="en-US" w:eastAsia="zh-CN" w:bidi="ar"/>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福田区出台了智能终端、机器人产业检测认证支持政策，对企业开展产品/部件的认证、检测等，经备案并经专项审计，按上年度实际发生费用的50%给予每年一般不超过50万元支持。同时也出台了包含检测认证机构等公共服务平台建设支持政策，对经认定的公共服务平台，按科研与检测设备、软件工具等购置、建设投资费用30%的比例，给予一般不超过500万元支持。</w:t>
            </w:r>
          </w:p>
        </w:tc>
        <w:tc>
          <w:tcPr>
            <w:tcW w:w="1843" w:type="dxa"/>
            <w:tcBorders>
              <w:top w:val="single" w:color="auto" w:sz="4" w:space="0"/>
              <w:left w:val="single" w:color="auto" w:sz="4" w:space="0"/>
              <w:bottom w:val="single" w:color="auto" w:sz="4" w:space="0"/>
              <w:right w:val="single" w:color="auto" w:sz="4" w:space="0"/>
            </w:tcBorders>
            <w:noWrap w:val="0"/>
            <w:vAlign w:val="top"/>
          </w:tcPr>
          <w:p w14:paraId="1E77DD7E">
            <w:pPr>
              <w:jc w:val="left"/>
              <w:rPr>
                <w:rFonts w:hint="eastAsia" w:asciiTheme="majorEastAsia" w:hAnsiTheme="majorEastAsia" w:eastAsiaTheme="majorEastAsia" w:cstheme="majorEastAsia"/>
                <w:color w:val="000000" w:themeColor="text1"/>
                <w:sz w:val="21"/>
                <w:szCs w:val="21"/>
                <w:lang w:val="zh-CN"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一、市发展改革委将根据《2024年战略性新兴产业专项资金项目申报指南（第一批）》，组织开展项目申报、评审和立项等工作。同时，围绕市级公共服务平台、工程研究中心等专项，组织开展2024年第二批战略性新兴产业专项资金扶持计划，通过资源整合、共享，加速产业之间的融合与协同创新，加快培育发展战略性新兴产业集群。</w:t>
            </w:r>
            <w:r>
              <w:rPr>
                <w:rFonts w:hint="eastAsia" w:asciiTheme="majorEastAsia" w:hAnsiTheme="majorEastAsia" w:eastAsiaTheme="majorEastAsia" w:cstheme="majorEastAsia"/>
                <w:color w:val="000000" w:themeColor="text1"/>
                <w:sz w:val="21"/>
                <w:szCs w:val="21"/>
                <w:lang w:val="zh-CN" w:eastAsia="zh-CN"/>
                <w14:textFill>
                  <w14:solidFill>
                    <w14:schemeClr w14:val="tx1"/>
                  </w14:solidFill>
                </w14:textFill>
              </w:rPr>
              <w:t>同时围绕电化学储能、“超充”、汽车芯片以及人工智能等产业，提高相关领域的检测能力，支持“深圳市电化学储能公共服务平台”等重点项目落地；鼓励重点检测机构加快完善超充设施检测能力；提升深圳市集成电路产业封装测试能力。</w:t>
            </w:r>
          </w:p>
          <w:p w14:paraId="169D802A">
            <w:pPr>
              <w:jc w:val="left"/>
              <w:rPr>
                <w:rFonts w:hint="eastAsia" w:asciiTheme="majorEastAsia" w:hAnsiTheme="majorEastAsia" w:eastAsiaTheme="majorEastAsia" w:cstheme="majorEastAsia"/>
                <w:color w:val="000000" w:themeColor="text1"/>
                <w:sz w:val="21"/>
                <w:szCs w:val="21"/>
                <w:lang w:val="zh-CN"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zh-CN" w:eastAsia="zh-CN"/>
                <w14:textFill>
                  <w14:solidFill>
                    <w14:schemeClr w14:val="tx1"/>
                  </w14:solidFill>
                </w14:textFill>
              </w:rPr>
              <w:t>二、市工业和信息化局支持社会组织整合全市检验检测资源，打造集信息发布、信息查询与咨询、人员培训、业务对接、网上支付、设备租赁、实验室共享、检测报告与证书的验证等一站式互联网服务平台。</w:t>
            </w:r>
          </w:p>
          <w:p w14:paraId="3CD0A420">
            <w:pPr>
              <w:jc w:val="left"/>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zh-CN" w:eastAsia="zh-CN"/>
                <w14:textFill>
                  <w14:solidFill>
                    <w14:schemeClr w14:val="tx1"/>
                  </w14:solidFill>
                </w14:textFill>
              </w:rPr>
              <w:t>三、宝安区正在</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推动尖岗山检验检测产业园建设，加快布局高水平的工业产品质检中心、产业计量测试中心、检测实验室等公共平台建设，培育质量服务新兴业态。到2025年，争取2个国际和国家专业标准化技术委员会落户。同时，基于新一代信息技术产业、检验检测、智慧物流、新材料等领域，引进香港高端产业要素，打造“尖岗山深港智能产业创新合作发展区”。</w:t>
            </w:r>
          </w:p>
          <w:p w14:paraId="14640582">
            <w:pPr>
              <w:jc w:val="left"/>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四、光明区正在围绕光明科学城，布局引进深圳中国计量科学研究院技术创新研究院、深圳市药品检验研究院光明分院、国家电动汽车企业计量中心、国家环保产品质量监督检验中心、国家分布式光伏发电系统质量监督检验中心等“中”字头、“国”字头的第三方检验检测机构。</w:t>
            </w:r>
          </w:p>
          <w:p w14:paraId="514F5E0F">
            <w:pPr>
              <w:jc w:val="left"/>
              <w:rPr>
                <w:rFonts w:hint="default" w:eastAsia="宋体"/>
                <w:lang w:val="en-US" w:eastAsia="zh-CN"/>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五、坪山区正在围绕生物医药、智能网联汽车产业规划配套引进检验检测机构。</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br w:type="textWrapping"/>
            </w:r>
          </w:p>
        </w:tc>
        <w:tc>
          <w:tcPr>
            <w:tcW w:w="1843" w:type="dxa"/>
            <w:tcBorders>
              <w:top w:val="single" w:color="auto" w:sz="4" w:space="0"/>
              <w:left w:val="single" w:color="auto" w:sz="4" w:space="0"/>
              <w:bottom w:val="single" w:color="auto" w:sz="4" w:space="0"/>
              <w:right w:val="single" w:color="auto" w:sz="4" w:space="0"/>
            </w:tcBorders>
            <w:noWrap w:val="0"/>
            <w:vAlign w:val="top"/>
          </w:tcPr>
          <w:p w14:paraId="5CECFFB2">
            <w:pPr>
              <w:jc w:val="center"/>
              <w:rPr>
                <w:rFonts w:ascii="宋体" w:hAnsi="宋体"/>
                <w:kern w:val="0"/>
                <w:szCs w:val="21"/>
              </w:rPr>
            </w:pPr>
          </w:p>
        </w:tc>
        <w:tc>
          <w:tcPr>
            <w:tcW w:w="1437" w:type="dxa"/>
            <w:tcBorders>
              <w:top w:val="single" w:color="auto" w:sz="4" w:space="0"/>
              <w:left w:val="single" w:color="auto" w:sz="4" w:space="0"/>
              <w:bottom w:val="single" w:color="auto" w:sz="4" w:space="0"/>
              <w:right w:val="single" w:color="auto" w:sz="4" w:space="0"/>
            </w:tcBorders>
            <w:noWrap w:val="0"/>
            <w:vAlign w:val="center"/>
          </w:tcPr>
          <w:p w14:paraId="68BF0D40">
            <w:pPr>
              <w:rPr>
                <w:rFonts w:ascii="宋体" w:hAnsi="宋体"/>
                <w:kern w:val="0"/>
                <w:szCs w:val="21"/>
              </w:rPr>
            </w:pPr>
          </w:p>
        </w:tc>
      </w:tr>
      <w:tr w14:paraId="6B7DC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830" w:type="dxa"/>
            <w:vMerge w:val="continue"/>
            <w:tcBorders>
              <w:left w:val="single" w:color="auto" w:sz="4" w:space="0"/>
              <w:bottom w:val="single" w:color="auto" w:sz="4" w:space="0"/>
              <w:right w:val="single" w:color="auto" w:sz="4" w:space="0"/>
            </w:tcBorders>
            <w:noWrap w:val="0"/>
            <w:vAlign w:val="center"/>
          </w:tcPr>
          <w:p w14:paraId="195F967A">
            <w:pPr>
              <w:jc w:val="center"/>
              <w:rPr>
                <w:rFonts w:hint="eastAsia" w:ascii="宋体" w:hAnsi="宋体" w:eastAsia="宋体" w:cs="宋体"/>
                <w:kern w:val="0"/>
                <w:szCs w:val="21"/>
                <w:lang w:eastAsia="zh-CN" w:bidi="ar"/>
              </w:rPr>
            </w:pPr>
          </w:p>
        </w:tc>
        <w:tc>
          <w:tcPr>
            <w:tcW w:w="1135" w:type="dxa"/>
            <w:vMerge w:val="continue"/>
            <w:tcBorders>
              <w:left w:val="single" w:color="auto" w:sz="4" w:space="0"/>
              <w:bottom w:val="single" w:color="auto" w:sz="4" w:space="0"/>
              <w:right w:val="single" w:color="auto" w:sz="4" w:space="0"/>
            </w:tcBorders>
            <w:noWrap w:val="0"/>
            <w:vAlign w:val="center"/>
          </w:tcPr>
          <w:p w14:paraId="4A31EF65">
            <w:pPr>
              <w:jc w:val="center"/>
              <w:rPr>
                <w:rFonts w:hint="eastAsia" w:ascii="宋体" w:hAnsi="宋体" w:eastAsia="宋体" w:cs="宋体"/>
                <w:kern w:val="0"/>
                <w:szCs w:val="21"/>
                <w:lang w:eastAsia="zh-CN" w:bidi="ar"/>
              </w:rPr>
            </w:pPr>
          </w:p>
        </w:tc>
        <w:tc>
          <w:tcPr>
            <w:tcW w:w="851" w:type="dxa"/>
            <w:vMerge w:val="continue"/>
            <w:tcBorders>
              <w:left w:val="single" w:color="auto" w:sz="4" w:space="0"/>
              <w:bottom w:val="single" w:color="auto" w:sz="4" w:space="0"/>
              <w:right w:val="single" w:color="auto" w:sz="4" w:space="0"/>
            </w:tcBorders>
            <w:noWrap w:val="0"/>
            <w:vAlign w:val="center"/>
          </w:tcPr>
          <w:p w14:paraId="26822430">
            <w:pPr>
              <w:jc w:val="center"/>
              <w:rPr>
                <w:rFonts w:hint="eastAsia" w:ascii="宋体" w:hAnsi="宋体" w:eastAsia="宋体" w:cs="宋体"/>
                <w:kern w:val="0"/>
                <w:szCs w:val="21"/>
                <w:lang w:eastAsia="zh-CN" w:bidi="ar"/>
              </w:rPr>
            </w:pPr>
          </w:p>
        </w:tc>
        <w:tc>
          <w:tcPr>
            <w:tcW w:w="1229" w:type="dxa"/>
            <w:vMerge w:val="continue"/>
            <w:tcBorders>
              <w:left w:val="single" w:color="auto" w:sz="4" w:space="0"/>
              <w:bottom w:val="single" w:color="auto" w:sz="4" w:space="0"/>
              <w:right w:val="single" w:color="auto" w:sz="4" w:space="0"/>
            </w:tcBorders>
            <w:noWrap w:val="0"/>
            <w:vAlign w:val="center"/>
          </w:tcPr>
          <w:p w14:paraId="552D0789">
            <w:pPr>
              <w:jc w:val="center"/>
              <w:rPr>
                <w:rFonts w:hint="eastAsia" w:ascii="宋体" w:hAnsi="宋体" w:eastAsia="宋体" w:cs="宋体"/>
                <w:kern w:val="0"/>
                <w:szCs w:val="21"/>
                <w:lang w:eastAsia="zh-CN" w:bidi="ar"/>
              </w:rPr>
            </w:pPr>
          </w:p>
        </w:tc>
        <w:tc>
          <w:tcPr>
            <w:tcW w:w="1324" w:type="dxa"/>
            <w:vMerge w:val="continue"/>
            <w:tcBorders>
              <w:left w:val="single" w:color="auto" w:sz="4" w:space="0"/>
              <w:bottom w:val="single" w:color="auto" w:sz="4" w:space="0"/>
              <w:right w:val="single" w:color="auto" w:sz="4" w:space="0"/>
            </w:tcBorders>
            <w:noWrap w:val="0"/>
            <w:vAlign w:val="center"/>
          </w:tcPr>
          <w:p w14:paraId="21F38DA8">
            <w:pPr>
              <w:jc w:val="center"/>
              <w:rPr>
                <w:rFonts w:hint="eastAsia" w:ascii="宋体" w:hAnsi="宋体" w:eastAsia="宋体" w:cs="宋体"/>
                <w:kern w:val="0"/>
                <w:szCs w:val="21"/>
                <w:lang w:eastAsia="zh-CN" w:bidi="ar"/>
              </w:rPr>
            </w:pPr>
          </w:p>
        </w:tc>
        <w:tc>
          <w:tcPr>
            <w:tcW w:w="1969" w:type="dxa"/>
            <w:tcBorders>
              <w:top w:val="single" w:color="auto" w:sz="4" w:space="0"/>
              <w:left w:val="single" w:color="auto" w:sz="4" w:space="0"/>
              <w:bottom w:val="single" w:color="auto" w:sz="4" w:space="0"/>
              <w:right w:val="single" w:color="auto" w:sz="4" w:space="0"/>
            </w:tcBorders>
            <w:noWrap w:val="0"/>
            <w:vAlign w:val="top"/>
          </w:tcPr>
          <w:p w14:paraId="68331EB6">
            <w:pPr>
              <w:jc w:val="cente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建议三、建议区政府牵头市市场监管局配合，在宝安等检验检测机构集中的区域推动建立国家检验检测公共服务示范区。
</w:t>
            </w:r>
            <w:r>
              <w:rPr>
                <w:rFonts w:hint="eastAsia" w:ascii="仿宋_GB2312" w:hAnsi="仿宋_GB2312" w:eastAsia="仿宋_GB2312" w:cs="仿宋_GB2312"/>
                <w:color w:val="000000" w:themeColor="text1"/>
                <w:sz w:val="32"/>
                <w:szCs w:val="32"/>
                <w14:textFill>
                  <w14:solidFill>
                    <w14:schemeClr w14:val="tx1"/>
                  </w14:solidFill>
                </w14:textFill>
              </w:rPr>
              <w:br w:type="textWrapping"/>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
</w:t>
            </w:r>
          </w:p>
        </w:tc>
        <w:tc>
          <w:tcPr>
            <w:tcW w:w="1984" w:type="dxa"/>
            <w:tcBorders>
              <w:top w:val="single" w:color="auto" w:sz="4" w:space="0"/>
              <w:left w:val="single" w:color="auto" w:sz="4" w:space="0"/>
              <w:bottom w:val="single" w:color="auto" w:sz="4" w:space="0"/>
              <w:right w:val="single" w:color="auto" w:sz="4" w:space="0"/>
            </w:tcBorders>
            <w:noWrap w:val="0"/>
            <w:vAlign w:val="top"/>
          </w:tcPr>
          <w:p w14:paraId="3BB40530">
            <w:pPr>
              <w:jc w:val="both"/>
              <w:rPr>
                <w:rFonts w:hint="eastAsia" w:ascii="宋体" w:hAnsi="宋体" w:eastAsia="宋体" w:cs="宋体"/>
                <w:kern w:val="0"/>
                <w:szCs w:val="21"/>
                <w:lang w:val="en-US" w:eastAsia="zh-CN" w:bidi="ar"/>
              </w:rPr>
            </w:pPr>
            <w:r>
              <w:rPr>
                <w:rFonts w:hint="eastAsia" w:asciiTheme="minorEastAsia" w:hAnsiTheme="minorEastAsia" w:eastAsiaTheme="minorEastAsia" w:cstheme="minorEastAsia"/>
                <w:sz w:val="21"/>
                <w:szCs w:val="21"/>
                <w:lang w:eastAsia="zh-CN"/>
              </w:rPr>
              <w:t>按照</w:t>
            </w:r>
            <w:r>
              <w:rPr>
                <w:rFonts w:hint="eastAsia" w:asciiTheme="minorEastAsia" w:hAnsiTheme="minorEastAsia" w:eastAsiaTheme="minorEastAsia" w:cstheme="minorEastAsia"/>
                <w:sz w:val="21"/>
                <w:szCs w:val="21"/>
              </w:rPr>
              <w:t>国家检验检测公共服务示范区</w:t>
            </w:r>
            <w:r>
              <w:rPr>
                <w:rFonts w:hint="eastAsia" w:asciiTheme="minorEastAsia" w:hAnsiTheme="minorEastAsia" w:eastAsiaTheme="minorEastAsia" w:cstheme="minorEastAsia"/>
                <w:sz w:val="21"/>
                <w:szCs w:val="21"/>
                <w:lang w:eastAsia="zh-CN"/>
              </w:rPr>
              <w:t>的申报条件，</w:t>
            </w:r>
            <w:r>
              <w:rPr>
                <w:rFonts w:hint="eastAsia" w:asciiTheme="minorEastAsia" w:hAnsiTheme="minorEastAsia" w:eastAsiaTheme="minorEastAsia" w:cstheme="minorEastAsia"/>
                <w:sz w:val="21"/>
                <w:szCs w:val="21"/>
              </w:rPr>
              <w:t>市市场监督管理局</w:t>
            </w:r>
            <w:r>
              <w:rPr>
                <w:rFonts w:hint="eastAsia" w:asciiTheme="minorEastAsia" w:hAnsiTheme="minorEastAsia" w:eastAsiaTheme="minorEastAsia" w:cstheme="minorEastAsia"/>
                <w:sz w:val="21"/>
                <w:szCs w:val="21"/>
                <w:lang w:eastAsia="zh-CN"/>
              </w:rPr>
              <w:t>选取产业基础好、检验机构集中度最高的</w:t>
            </w:r>
            <w:r>
              <w:rPr>
                <w:rFonts w:hint="eastAsia" w:asciiTheme="minorEastAsia" w:hAnsiTheme="minorEastAsia" w:eastAsiaTheme="minorEastAsia" w:cstheme="minorEastAsia"/>
                <w:sz w:val="21"/>
                <w:szCs w:val="21"/>
              </w:rPr>
              <w:t>宝安区</w:t>
            </w:r>
            <w:r>
              <w:rPr>
                <w:rFonts w:hint="eastAsia" w:asciiTheme="minorEastAsia" w:hAnsiTheme="minorEastAsia" w:eastAsiaTheme="minorEastAsia" w:cstheme="minorEastAsia"/>
                <w:sz w:val="21"/>
                <w:szCs w:val="21"/>
                <w:lang w:eastAsia="zh-CN"/>
              </w:rPr>
              <w:t>率先</w:t>
            </w:r>
            <w:r>
              <w:rPr>
                <w:rFonts w:hint="eastAsia" w:asciiTheme="minorEastAsia" w:hAnsiTheme="minorEastAsia" w:eastAsiaTheme="minorEastAsia" w:cstheme="minorEastAsia"/>
                <w:sz w:val="21"/>
                <w:szCs w:val="21"/>
              </w:rPr>
              <w:t>争创国家检验检测公共服务平台示范区。4月13日，宝安区政府已发函至市市场监督管理局申报创建国家检验检测认证公共服务平台示范区；4月16日，市市场监督管理局已向广东省市场监督管理局正式报送《深圳市市场监管局关于提请推荐深圳市宝安区创建国家检验检测认证公共服务平台示范区的请示》，提请省市场监管局向国家市场监管总局推荐宝安区创建国家检验检测认证公共服务平台示范区。</w:t>
            </w:r>
          </w:p>
        </w:tc>
        <w:tc>
          <w:tcPr>
            <w:tcW w:w="1843" w:type="dxa"/>
            <w:tcBorders>
              <w:top w:val="single" w:color="auto" w:sz="4" w:space="0"/>
              <w:left w:val="single" w:color="auto" w:sz="4" w:space="0"/>
              <w:bottom w:val="single" w:color="auto" w:sz="4" w:space="0"/>
              <w:right w:val="single" w:color="auto" w:sz="4" w:space="0"/>
            </w:tcBorders>
            <w:noWrap w:val="0"/>
            <w:vAlign w:val="top"/>
          </w:tcPr>
          <w:p w14:paraId="59FECE2B">
            <w:pPr>
              <w:jc w:val="left"/>
              <w:rPr>
                <w:rFonts w:hint="eastAsia" w:ascii="宋体" w:hAnsi="宋体" w:cs="宋体" w:eastAsiaTheme="minorEastAsia"/>
                <w:kern w:val="0"/>
                <w:szCs w:val="21"/>
                <w:lang w:val="en-US" w:eastAsia="zh-CN" w:bidi="ar"/>
              </w:rPr>
            </w:pPr>
            <w:r>
              <w:rPr>
                <w:rFonts w:hint="eastAsia" w:asciiTheme="minorEastAsia" w:hAnsiTheme="minorEastAsia" w:eastAsiaTheme="minorEastAsia" w:cstheme="minorEastAsia"/>
                <w:sz w:val="21"/>
                <w:szCs w:val="21"/>
                <w:lang w:eastAsia="zh-CN"/>
              </w:rPr>
              <w:t>积极跟进省市场监管局，推动向国家市场监管总局申请在</w:t>
            </w:r>
            <w:r>
              <w:rPr>
                <w:rFonts w:hint="eastAsia" w:asciiTheme="minorEastAsia" w:hAnsiTheme="minorEastAsia" w:eastAsiaTheme="minorEastAsia" w:cstheme="minorEastAsia"/>
                <w:sz w:val="21"/>
                <w:szCs w:val="21"/>
              </w:rPr>
              <w:t>深圳市宝安区创建国家检验检测认证公共服务平台示范区</w:t>
            </w:r>
            <w:r>
              <w:rPr>
                <w:rFonts w:hint="eastAsia" w:asciiTheme="minorEastAsia" w:hAnsiTheme="minorEastAsia" w:eastAsiaTheme="minorEastAsia" w:cstheme="minorEastAsia"/>
                <w:sz w:val="21"/>
                <w:szCs w:val="21"/>
                <w:lang w:eastAsia="zh-CN"/>
              </w:rPr>
              <w:t>。</w:t>
            </w:r>
          </w:p>
        </w:tc>
        <w:tc>
          <w:tcPr>
            <w:tcW w:w="1843" w:type="dxa"/>
            <w:tcBorders>
              <w:top w:val="single" w:color="auto" w:sz="4" w:space="0"/>
              <w:left w:val="single" w:color="auto" w:sz="4" w:space="0"/>
              <w:bottom w:val="single" w:color="auto" w:sz="4" w:space="0"/>
              <w:right w:val="single" w:color="auto" w:sz="4" w:space="0"/>
            </w:tcBorders>
            <w:noWrap w:val="0"/>
            <w:vAlign w:val="top"/>
          </w:tcPr>
          <w:p w14:paraId="14FF0B2A">
            <w:pPr>
              <w:jc w:val="center"/>
              <w:rPr>
                <w:rFonts w:hint="eastAsia" w:ascii="宋体" w:hAnsi="宋体" w:cs="宋体" w:eastAsiaTheme="minorEastAsia"/>
                <w:kern w:val="0"/>
                <w:szCs w:val="21"/>
                <w:lang w:val="en-US" w:eastAsia="zh-CN" w:bidi="ar"/>
              </w:rPr>
            </w:pPr>
          </w:p>
        </w:tc>
        <w:tc>
          <w:tcPr>
            <w:tcW w:w="1437" w:type="dxa"/>
            <w:tcBorders>
              <w:top w:val="single" w:color="auto" w:sz="4" w:space="0"/>
              <w:left w:val="single" w:color="auto" w:sz="4" w:space="0"/>
              <w:bottom w:val="single" w:color="auto" w:sz="4" w:space="0"/>
              <w:right w:val="single" w:color="auto" w:sz="4" w:space="0"/>
            </w:tcBorders>
            <w:noWrap w:val="0"/>
            <w:vAlign w:val="center"/>
          </w:tcPr>
          <w:p w14:paraId="2CE8DF17">
            <w:pPr>
              <w:rPr>
                <w:rFonts w:ascii="宋体" w:hAnsi="宋体"/>
                <w:kern w:val="0"/>
                <w:szCs w:val="21"/>
              </w:rPr>
            </w:pPr>
          </w:p>
        </w:tc>
      </w:tr>
    </w:tbl>
    <w:p w14:paraId="5DB03ADF">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3CA249"/>
    <w:multiLevelType w:val="singleLevel"/>
    <w:tmpl w:val="643CA2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OGQ3NTY1NjU4MjMzOGM0YzFmY2ZhYmM5MjAxYzQifQ=="/>
  </w:docVars>
  <w:rsids>
    <w:rsidRoot w:val="00000000"/>
    <w:rsid w:val="37A74E88"/>
    <w:rsid w:val="54E038FE"/>
    <w:rsid w:val="7AFE022B"/>
    <w:rsid w:val="7D2DCEE9"/>
    <w:rsid w:val="7ED380A6"/>
    <w:rsid w:val="7FFF34FB"/>
    <w:rsid w:val="9FBD0337"/>
    <w:rsid w:val="DFB49479"/>
    <w:rsid w:val="DFFBC8B5"/>
    <w:rsid w:val="F79D5DBE"/>
    <w:rsid w:val="FBAECC62"/>
    <w:rsid w:val="FFB78A07"/>
    <w:rsid w:val="FFEFF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rPr>
      <w:sz w:val="24"/>
    </w:rPr>
  </w:style>
  <w:style w:type="paragraph" w:styleId="3">
    <w:name w:val="Body Text"/>
    <w:basedOn w:val="1"/>
    <w:next w:val="1"/>
    <w:qFormat/>
    <w:uiPriority w:val="0"/>
    <w:pPr>
      <w:spacing w:after="120"/>
    </w:pPr>
    <w:rPr>
      <w:rFonts w:ascii="Calibri" w:hAnsi="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3600</Words>
  <Characters>3673</Characters>
  <Lines>0</Lines>
  <Paragraphs>0</Paragraphs>
  <TotalTime>17</TotalTime>
  <ScaleCrop>false</ScaleCrop>
  <LinksUpToDate>false</LinksUpToDate>
  <CharactersWithSpaces>3724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2024-04-16T00:53:00Z</dcterms:created>
  <dc:creator>chaichao</dc:creator>
  <cp:lastModifiedBy>zihui</cp:lastModifiedBy>
  <dcterms:modified xsi:type="dcterms:W3CDTF">2024-10-24T03:30:57Z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4D86E778A745404CBA6470D148B7E1EC_12</vt:lpwstr>
  </property>
</Properties>
</file>