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Style w:val="5"/>
          <w:rFonts w:hint="default" w:ascii="黑体" w:hAnsi="黑体" w:eastAsia="黑体" w:cs="黑体"/>
          <w:b w:val="0"/>
          <w:bCs w:val="0"/>
          <w:color w:val="auto"/>
          <w:kern w:val="2"/>
          <w:sz w:val="32"/>
          <w:szCs w:val="32"/>
          <w:highlight w:val="none"/>
          <w:lang w:val="en-US" w:eastAsia="zh-CN" w:bidi="ar-SA"/>
        </w:rPr>
      </w:pPr>
      <w:r>
        <w:rPr>
          <w:rStyle w:val="5"/>
          <w:rFonts w:hint="eastAsia" w:ascii="黑体" w:hAnsi="黑体" w:eastAsia="黑体" w:cs="黑体"/>
          <w:b w:val="0"/>
          <w:bCs w:val="0"/>
          <w:color w:val="auto"/>
          <w:kern w:val="2"/>
          <w:sz w:val="32"/>
          <w:szCs w:val="32"/>
          <w:highlight w:val="none"/>
          <w:lang w:val="en-US" w:eastAsia="zh-CN" w:bidi="ar-SA"/>
        </w:rPr>
        <w:t>附件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Style w:val="5"/>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Style w:val="5"/>
          <w:rFonts w:hint="eastAsia" w:ascii="方正小标宋简体" w:hAnsi="方正小标宋简体" w:eastAsia="方正小标宋简体" w:cs="方正小标宋简体"/>
          <w:b w:val="0"/>
          <w:bCs w:val="0"/>
          <w:color w:val="auto"/>
          <w:kern w:val="2"/>
          <w:sz w:val="44"/>
          <w:szCs w:val="44"/>
          <w:highlight w:val="none"/>
          <w:lang w:val="en-US" w:eastAsia="zh-CN" w:bidi="ar-SA"/>
        </w:rPr>
        <w:t>专家简介</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楷体_GB2312" w:hAnsi="仿宋_GB2312" w:eastAsia="楷体_GB2312" w:cs="仿宋_GB2312"/>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楷体_GB2312" w:hAnsi="仿宋_GB2312" w:eastAsia="楷体_GB2312" w:cs="仿宋_GB2312"/>
          <w:b/>
          <w:bCs/>
          <w:color w:val="auto"/>
          <w:sz w:val="32"/>
          <w:szCs w:val="32"/>
          <w:highlight w:val="none"/>
          <w:lang w:eastAsia="zh-CN"/>
        </w:rPr>
      </w:pPr>
      <w:r>
        <w:rPr>
          <w:rFonts w:hint="eastAsia" w:ascii="楷体_GB2312" w:hAnsi="仿宋_GB2312" w:eastAsia="楷体_GB2312" w:cs="仿宋_GB2312"/>
          <w:b/>
          <w:bCs/>
          <w:color w:val="auto"/>
          <w:sz w:val="32"/>
          <w:szCs w:val="32"/>
          <w:highlight w:val="none"/>
          <w:lang w:eastAsia="zh-CN"/>
        </w:rPr>
        <w:t>（一）主题：</w:t>
      </w:r>
      <w:r>
        <w:rPr>
          <w:rFonts w:hint="eastAsia" w:ascii="仿宋_GB2312" w:hAnsi="仿宋_GB2312" w:eastAsia="仿宋_GB2312" w:cs="仿宋_GB2312"/>
          <w:b/>
          <w:bCs/>
          <w:color w:val="auto"/>
          <w:sz w:val="32"/>
          <w:szCs w:val="32"/>
          <w:highlight w:val="none"/>
          <w:lang w:val="en-US" w:eastAsia="zh-CN"/>
        </w:rPr>
        <w:t>商业秘密跨国诉讼实务分享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主讲人：邹雯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邹雯是方达律师事务所深圳办公室的合伙人。专业领域为商业秘密刑民保护、知识产权诉讼与仲裁、海外诉讼管理、知识产权合规及刑事风控。邹雯律师曾在法院工作长达十余年，刑事及知识产权审判经验丰富。律师执业以来，她帮助多家跨国企业实现商业秘密刑事、民事维权，为客户提供海外诉讼管理服务并代表其在国内发起或应对平行诉讼等。邹雯律师为钱伯斯大中华区知识产权诉讼业务领域上榜律师，并获评LEGALBAND中国女律师15强、《商法》“The A-List 法律精英”等。</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楷体_GB2312" w:hAnsi="仿宋_GB2312" w:eastAsia="楷体_GB2312" w:cs="仿宋_GB2312"/>
          <w:b/>
          <w:bCs/>
          <w:color w:val="auto"/>
          <w:sz w:val="32"/>
          <w:szCs w:val="32"/>
          <w:highlight w:val="none"/>
          <w:lang w:eastAsia="zh-CN"/>
        </w:rPr>
      </w:pPr>
      <w:r>
        <w:rPr>
          <w:rFonts w:hint="eastAsia" w:ascii="楷体_GB2312" w:hAnsi="仿宋_GB2312" w:eastAsia="楷体_GB2312" w:cs="仿宋_GB2312"/>
          <w:b/>
          <w:bCs/>
          <w:color w:val="auto"/>
          <w:sz w:val="32"/>
          <w:szCs w:val="32"/>
          <w:highlight w:val="none"/>
          <w:lang w:eastAsia="zh-CN"/>
        </w:rPr>
        <w:t>（二）主题：</w:t>
      </w:r>
      <w:r>
        <w:rPr>
          <w:rFonts w:hint="eastAsia" w:ascii="仿宋_GB2312" w:hAnsi="仿宋_GB2312" w:eastAsia="仿宋_GB2312" w:cs="仿宋_GB2312"/>
          <w:b/>
          <w:bCs/>
          <w:color w:val="auto"/>
          <w:sz w:val="32"/>
          <w:szCs w:val="32"/>
          <w:highlight w:val="none"/>
          <w:lang w:val="en-US" w:eastAsia="zh-CN"/>
        </w:rPr>
        <w:t>从技术到体系，从安全到业务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主讲人：俞婷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Style w:val="5"/>
          <w:rFonts w:hint="eastAsia" w:ascii="仿宋_GB2312" w:hAnsi="仿宋_GB2312" w:eastAsia="仿宋_GB2312" w:cs="仿宋_GB2312"/>
          <w:b w:val="0"/>
          <w:bCs w:val="0"/>
          <w:color w:val="auto"/>
          <w:spacing w:val="8"/>
          <w:kern w:val="2"/>
          <w:sz w:val="32"/>
          <w:szCs w:val="32"/>
          <w:highlight w:val="none"/>
          <w:shd w:val="clear" w:color="auto" w:fill="FFFFFF"/>
          <w:lang w:val="en-US" w:eastAsia="zh-CN" w:bidi="ar-SA"/>
        </w:rPr>
      </w:pPr>
      <w:r>
        <w:rPr>
          <w:rStyle w:val="5"/>
          <w:rFonts w:hint="eastAsia" w:ascii="仿宋_GB2312" w:hAnsi="仿宋_GB2312" w:eastAsia="仿宋_GB2312" w:cs="仿宋_GB2312"/>
          <w:b w:val="0"/>
          <w:bCs w:val="0"/>
          <w:color w:val="auto"/>
          <w:spacing w:val="8"/>
          <w:kern w:val="2"/>
          <w:sz w:val="32"/>
          <w:szCs w:val="32"/>
          <w:highlight w:val="none"/>
          <w:shd w:val="clear" w:color="auto" w:fill="FFFFFF"/>
          <w:lang w:val="en-US" w:eastAsia="zh-CN" w:bidi="ar-SA"/>
        </w:rPr>
        <w:t>俞婷是中兴通讯信息安全总监、深圳网络与信息安全协会副会长、粤港澳大湾区网络安全协会特聘专家。曾负责中兴通讯集团全球信息安全管理体系从0-1建设，对体系建设、商秘保护、数据安全、网络运营均有深刻理解与实践。现今负责信息安全产品、品牌建设、战略伙伴安全咨询。</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楷体_GB2312" w:hAnsi="仿宋_GB2312" w:eastAsia="楷体_GB2312" w:cs="仿宋_GB2312"/>
          <w:b/>
          <w:bCs/>
          <w:color w:val="auto"/>
          <w:sz w:val="32"/>
          <w:szCs w:val="32"/>
          <w:highlight w:val="none"/>
          <w:lang w:eastAsia="zh-CN"/>
        </w:rPr>
      </w:pPr>
      <w:r>
        <w:rPr>
          <w:rFonts w:hint="eastAsia" w:ascii="楷体_GB2312" w:hAnsi="仿宋_GB2312" w:eastAsia="楷体_GB2312" w:cs="仿宋_GB2312"/>
          <w:b/>
          <w:bCs/>
          <w:color w:val="auto"/>
          <w:sz w:val="32"/>
          <w:szCs w:val="32"/>
          <w:highlight w:val="none"/>
          <w:lang w:eastAsia="zh-CN"/>
        </w:rPr>
        <w:t>（三）主题：</w:t>
      </w:r>
      <w:r>
        <w:rPr>
          <w:rFonts w:hint="eastAsia" w:ascii="仿宋_GB2312" w:hAnsi="仿宋_GB2312" w:eastAsia="仿宋_GB2312" w:cs="仿宋_GB2312"/>
          <w:b/>
          <w:bCs/>
          <w:color w:val="auto"/>
          <w:sz w:val="32"/>
          <w:szCs w:val="32"/>
          <w:highlight w:val="none"/>
          <w:lang w:val="en-US" w:eastAsia="zh-CN"/>
        </w:rPr>
        <w:t>商业秘密鉴定要点及典型案例分析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主讲人：邓光昀</w:t>
      </w:r>
    </w:p>
    <w:p>
      <w:r>
        <w:rPr>
          <w:rFonts w:hint="eastAsia" w:ascii="仿宋_GB2312" w:hAnsi="仿宋_GB2312" w:eastAsia="仿宋_GB2312" w:cs="仿宋_GB2312"/>
          <w:b w:val="0"/>
          <w:bCs w:val="0"/>
          <w:color w:val="auto"/>
          <w:kern w:val="2"/>
          <w:sz w:val="32"/>
          <w:szCs w:val="32"/>
          <w:highlight w:val="none"/>
          <w:lang w:val="en-US" w:eastAsia="zh-CN" w:bidi="ar-SA"/>
        </w:rPr>
        <w:t>邓光昀是深圳市公标知识产权鉴定评估中心（广东公标知识产权司法鉴定所）主任助理，专利分析助理研究员。从事知识产权鉴定工作十余年，参与专利、商业秘密、软件著作权鉴定案件百余件，包括华为、比亚迪、腾讯、富士康等公司的商业秘密案件。入选深圳市知识产权行政执法技术调查官、深圳市知识产权专家库入库名单、广东深圳（南山）商业秘密保护基地专家、深圳市光明区知识产权(商业秘密保护)专家库。他在商业秘密刑事保护案件中有着丰富的实务经验，为当事人维护合法权益及司法、行政机关查明技术事实提供了强有力的技术支撑，深受公安、行政执法、委托企业的信赖与肯定。</w:t>
      </w:r>
      <w:bookmarkStart w:id="0" w:name="_GoBack"/>
      <w:bookmarkEnd w:id="0"/>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BDE9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liucheng1</cp:lastModifiedBy>
  <dcterms:modified xsi:type="dcterms:W3CDTF">2025-06-23T17:23:50Z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D12E280F2B07B1CB261D59682739973A</vt:lpwstr>
  </property>
</Properties>
</file>