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宋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</w:rPr>
        <w:t>附件</w:t>
      </w:r>
    </w:p>
    <w:p>
      <w:pPr>
        <w:spacing w:line="579" w:lineRule="exact"/>
        <w:ind w:firstLine="640"/>
        <w:rPr>
          <w:rFonts w:ascii="华文中宋" w:hAnsi="华文中宋" w:eastAsia="华文中宋" w:cs="华文中宋"/>
          <w:sz w:val="44"/>
          <w:szCs w:val="44"/>
        </w:rPr>
      </w:pPr>
    </w:p>
    <w:p>
      <w:pPr>
        <w:spacing w:line="579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受停机维护影响的系统清单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停机维护时间：2025年7月18日20:00至7月21日08:00，受影响的系统如下：</w:t>
      </w:r>
    </w:p>
    <w:tbl>
      <w:tblPr>
        <w:tblStyle w:val="4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信息系统名称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专项资金系统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市场通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电子证照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智能客服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深圳商事信用信息与事中事后智慧监管系统（联合惩戒模块）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商事主体信用监管公示平台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法律文书送达承诺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深圳商事信用信息与事中事后智慧监管系统（双随机一公开系统）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行政审批系统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稽查执法办案系统/案源统一管理系统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深圳市商品房预售价格备案系统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依申请公开系统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深圳市动物检疫信息管理系统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阳光餐饮信息公示系统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6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7279" w:type="dxa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药械化监测统计分析平台</w:t>
            </w:r>
          </w:p>
        </w:tc>
      </w:tr>
    </w:tbl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73FE6"/>
    <w:rsid w:val="000E1A66"/>
    <w:rsid w:val="00C669B5"/>
    <w:rsid w:val="274624CC"/>
    <w:rsid w:val="6CF46CD2"/>
    <w:rsid w:val="70573FE6"/>
    <w:rsid w:val="78255B06"/>
    <w:rsid w:val="7CF7764A"/>
    <w:rsid w:val="7D6FF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2025-07-07T15:16:00Z</dcterms:created>
  <dc:creator>白</dc:creator>
  <cp:lastModifiedBy>luoxi</cp:lastModifiedBy>
  <dcterms:modified xsi:type="dcterms:W3CDTF">2025-07-15T16:29:00Z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056AEBCA506341E8882B6A802552ADB6_13</vt:lpwstr>
  </property>
</Properties>
</file>