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Style w:val="6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instrText xml:space="preserve"> HYPERLINK "https://amr.sz.gov.cn/attachment/1/1485/1485084/11546463.docx" \t "https://amr.sz.gov.cn/gkmlpt/content/11/11546/_blank"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深圳市市场监督管理局第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批专业化职业化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食品安全检查员（食品经营）名单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fldChar w:fldCharType="end"/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37"/>
        <w:gridCol w:w="5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叶  菁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深圳市市场监督管理局坪山监管局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郑宏涨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深圳市市场监督管理局坪山监管局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丘伟科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深圳市市场监督管理局坪山监管局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陈勇跃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深圳市市场监督管理局光明监管局（督导员）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江  林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刘仲豪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刘晴虹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0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吴世玉</w:t>
            </w:r>
          </w:p>
        </w:tc>
        <w:tc>
          <w:tcPr>
            <w:tcW w:w="33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曹显松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杨周杰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陈航海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陈谢之锴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洪  伟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深圳市标准技术研究院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杨  杰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深圳市分析测试协会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黄  云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富泰华工业(深圳)有限公司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张相日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深圳市新佰嘉餐饮管理有限公司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刘同方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深圳市深业航天食品与环境检测科技有限公司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许尔昉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深圳市格物正源质量标准系统有限公司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4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2D66A5"/>
          <w:spacing w:val="0"/>
          <w:sz w:val="32"/>
          <w:szCs w:val="32"/>
          <w:u w:val="single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FAD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panse</cp:lastModifiedBy>
  <dcterms:modified xsi:type="dcterms:W3CDTF">2025-07-21T17:07:02Z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53B628AE9277165836037E68C99B7C96</vt:lpwstr>
  </property>
</Properties>
</file>