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40"/>
        </w:rPr>
        <w:t>附件</w:t>
      </w:r>
      <w:r>
        <w:rPr>
          <w:rFonts w:hint="eastAsia" w:ascii="楷体_GB2312" w:hAnsi="楷体_GB2312" w:eastAsia="楷体_GB2312" w:cs="楷体_GB2312"/>
          <w:b/>
          <w:bCs/>
          <w:sz w:val="32"/>
          <w:szCs w:val="40"/>
          <w:lang w:val="en-US" w:eastAsia="zh-CN"/>
        </w:rPr>
        <w:t>1</w:t>
      </w:r>
      <w:bookmarkStart w:id="0" w:name="_GoBack"/>
      <w:bookmarkEnd w:id="0"/>
    </w:p>
    <w:p>
      <w:pPr>
        <w:pStyle w:val="2"/>
        <w:spacing w:before="100" w:after="90"/>
        <w:ind w:firstLine="0" w:firstLineChars="0"/>
        <w:rPr>
          <w:rFonts w:hint="eastAsia" w:ascii="宋体" w:hAnsi="宋体" w:eastAsia="宋体" w:cs="宋体"/>
          <w:b/>
          <w:bCs/>
        </w:rPr>
      </w:pPr>
      <w:r>
        <w:rPr>
          <w:rFonts w:hint="eastAsia" w:ascii="宋体" w:hAnsi="宋体" w:eastAsia="宋体" w:cs="宋体"/>
          <w:b/>
          <w:bCs/>
        </w:rPr>
        <w:t>深圳市202</w:t>
      </w:r>
      <w:r>
        <w:rPr>
          <w:rFonts w:hint="eastAsia" w:ascii="宋体" w:hAnsi="宋体" w:eastAsia="宋体" w:cs="宋体"/>
          <w:b/>
          <w:bCs/>
          <w:lang w:val="en-US" w:eastAsia="zh-CN"/>
        </w:rPr>
        <w:t>5</w:t>
      </w:r>
      <w:r>
        <w:rPr>
          <w:rFonts w:hint="eastAsia" w:ascii="宋体" w:hAnsi="宋体" w:eastAsia="宋体" w:cs="宋体"/>
          <w:b/>
          <w:bCs/>
        </w:rPr>
        <w:t>年</w:t>
      </w:r>
      <w:r>
        <w:rPr>
          <w:rFonts w:hint="eastAsia" w:ascii="宋体" w:hAnsi="宋体" w:eastAsia="宋体" w:cs="宋体"/>
          <w:b/>
          <w:bCs/>
          <w:lang w:val="en-US" w:eastAsia="zh-CN"/>
        </w:rPr>
        <w:t>叉车维保质量及使用安全状况抽查</w:t>
      </w:r>
      <w:r>
        <w:rPr>
          <w:rFonts w:hint="eastAsia" w:ascii="宋体" w:hAnsi="宋体" w:eastAsia="宋体" w:cs="宋体"/>
          <w:b/>
          <w:bCs/>
        </w:rPr>
        <w:t>项目</w:t>
      </w:r>
    </w:p>
    <w:p/>
    <w:tbl>
      <w:tblPr>
        <w:tblStyle w:val="12"/>
        <w:tblW w:w="13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458"/>
        <w:gridCol w:w="5225"/>
        <w:gridCol w:w="6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560" w:type="dxa"/>
            <w:shd w:val="clear" w:color="auto" w:fill="auto"/>
            <w:vAlign w:val="center"/>
          </w:tcPr>
          <w:p>
            <w:pPr>
              <w:jc w:val="center"/>
              <w:rPr>
                <w:rFonts w:cs="宋体"/>
                <w:szCs w:val="21"/>
              </w:rPr>
            </w:pPr>
            <w:r>
              <w:rPr>
                <w:rFonts w:hint="eastAsia" w:cs="宋体"/>
                <w:szCs w:val="21"/>
              </w:rPr>
              <w:t>序号</w:t>
            </w:r>
          </w:p>
        </w:tc>
        <w:tc>
          <w:tcPr>
            <w:tcW w:w="1458" w:type="dxa"/>
            <w:shd w:val="clear" w:color="auto" w:fill="auto"/>
            <w:vAlign w:val="center"/>
          </w:tcPr>
          <w:p>
            <w:pPr>
              <w:jc w:val="center"/>
              <w:rPr>
                <w:rFonts w:cs="宋体"/>
                <w:szCs w:val="21"/>
              </w:rPr>
            </w:pPr>
            <w:r>
              <w:rPr>
                <w:rFonts w:hint="eastAsia" w:cs="宋体"/>
                <w:szCs w:val="21"/>
              </w:rPr>
              <w:t>项目</w:t>
            </w:r>
          </w:p>
        </w:tc>
        <w:tc>
          <w:tcPr>
            <w:tcW w:w="5225" w:type="dxa"/>
            <w:shd w:val="clear" w:color="auto" w:fill="auto"/>
            <w:vAlign w:val="center"/>
          </w:tcPr>
          <w:p>
            <w:pPr>
              <w:jc w:val="center"/>
              <w:rPr>
                <w:rFonts w:cs="宋体"/>
                <w:szCs w:val="21"/>
              </w:rPr>
            </w:pPr>
            <w:r>
              <w:rPr>
                <w:rFonts w:hint="eastAsia" w:cs="宋体"/>
                <w:szCs w:val="21"/>
                <w:lang w:val="en-US" w:eastAsia="zh-CN"/>
              </w:rPr>
              <w:t>抽查</w:t>
            </w:r>
            <w:r>
              <w:rPr>
                <w:rFonts w:hint="eastAsia" w:cs="宋体"/>
                <w:szCs w:val="21"/>
              </w:rPr>
              <w:t>内容与要求</w:t>
            </w:r>
          </w:p>
        </w:tc>
        <w:tc>
          <w:tcPr>
            <w:tcW w:w="6358" w:type="dxa"/>
            <w:shd w:val="clear" w:color="auto" w:fill="auto"/>
            <w:vAlign w:val="center"/>
          </w:tcPr>
          <w:p>
            <w:pPr>
              <w:jc w:val="center"/>
              <w:rPr>
                <w:rFonts w:cs="宋体"/>
                <w:szCs w:val="21"/>
              </w:rPr>
            </w:pPr>
            <w:r>
              <w:rPr>
                <w:rFonts w:hint="eastAsia" w:cs="宋体"/>
                <w:szCs w:val="21"/>
                <w:lang w:val="en-US" w:eastAsia="zh-CN"/>
              </w:rPr>
              <w:t>抽查</w:t>
            </w:r>
            <w:r>
              <w:rPr>
                <w:rFonts w:hint="eastAsia" w:cs="宋体"/>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spacing w:line="300" w:lineRule="exact"/>
              <w:jc w:val="center"/>
              <w:rPr>
                <w:rFonts w:ascii="宋体" w:hAnsi="宋体" w:eastAsia="宋体" w:cs="Times New Roman"/>
                <w:bCs/>
                <w:color w:val="000000"/>
                <w:kern w:val="2"/>
                <w:sz w:val="21"/>
                <w:szCs w:val="21"/>
                <w:lang w:val="en-US" w:eastAsia="zh-CN" w:bidi="ar-SA"/>
              </w:rPr>
            </w:pPr>
            <w:r>
              <w:rPr>
                <w:rFonts w:hint="eastAsia" w:ascii="宋体" w:hAnsi="宋体"/>
                <w:bCs/>
                <w:color w:val="000000"/>
                <w:szCs w:val="21"/>
              </w:rPr>
              <w:t>1</w:t>
            </w:r>
          </w:p>
        </w:tc>
        <w:tc>
          <w:tcPr>
            <w:tcW w:w="1458" w:type="dxa"/>
            <w:shd w:val="clear" w:color="auto" w:fill="auto"/>
            <w:vAlign w:val="center"/>
          </w:tcPr>
          <w:p>
            <w:pPr>
              <w:pStyle w:val="26"/>
              <w:ind w:left="2" w:leftChars="0"/>
              <w:jc w:val="center"/>
              <w:rPr>
                <w:rFonts w:hint="eastAsia" w:ascii="Times New Roman" w:hAnsi="Times New Roman" w:cs="Times New Roman"/>
                <w:sz w:val="20"/>
                <w:szCs w:val="22"/>
                <w:lang w:val="en-US" w:eastAsia="zh-CN" w:bidi="zh-CN"/>
              </w:rPr>
            </w:pPr>
            <w:r>
              <w:rPr>
                <w:rFonts w:hint="eastAsia" w:ascii="宋体" w:hAnsi="宋体"/>
                <w:color w:val="auto"/>
                <w:kern w:val="0"/>
                <w:sz w:val="20"/>
                <w:szCs w:val="20"/>
              </w:rPr>
              <w:t>特种设备作业人员证</w:t>
            </w:r>
          </w:p>
          <w:p>
            <w:pPr>
              <w:pStyle w:val="26"/>
              <w:ind w:left="2" w:leftChars="0"/>
              <w:jc w:val="center"/>
              <w:rPr>
                <w:rFonts w:ascii="宋体" w:hAnsi="宋体" w:eastAsia="宋体" w:cs="Times New Roman"/>
                <w:color w:val="000000"/>
                <w:kern w:val="0"/>
                <w:sz w:val="21"/>
                <w:szCs w:val="21"/>
                <w:lang w:val="en-US" w:eastAsia="zh-CN" w:bidi="ar-SA"/>
              </w:rPr>
            </w:pP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pStyle w:val="26"/>
              <w:spacing w:before="10" w:line="250" w:lineRule="atLeast"/>
              <w:ind w:right="70" w:rightChars="0"/>
              <w:rPr>
                <w:rFonts w:ascii="宋体" w:hAnsi="宋体" w:eastAsia="宋体" w:cs="Times New Roman"/>
                <w:color w:val="000000"/>
                <w:kern w:val="0"/>
                <w:sz w:val="21"/>
                <w:szCs w:val="21"/>
                <w:lang w:val="en-US" w:eastAsia="zh-CN" w:bidi="ar-SA"/>
              </w:rPr>
            </w:pPr>
            <w:r>
              <w:rPr>
                <w:rFonts w:hint="eastAsia" w:ascii="宋体" w:hAnsi="宋体"/>
                <w:color w:val="auto"/>
                <w:kern w:val="0"/>
                <w:sz w:val="20"/>
                <w:szCs w:val="20"/>
                <w:highlight w:val="none"/>
              </w:rPr>
              <w:t>配备具</w:t>
            </w:r>
            <w:r>
              <w:rPr>
                <w:rFonts w:hint="eastAsia" w:ascii="宋体" w:hAnsi="宋体"/>
                <w:color w:val="auto"/>
                <w:kern w:val="0"/>
                <w:sz w:val="20"/>
                <w:szCs w:val="20"/>
                <w:highlight w:val="none"/>
                <w:lang w:eastAsia="zh-CN"/>
              </w:rPr>
              <w:t>有</w:t>
            </w:r>
            <w:r>
              <w:rPr>
                <w:rFonts w:hint="eastAsia" w:ascii="宋体" w:hAnsi="宋体"/>
                <w:color w:val="auto"/>
                <w:kern w:val="0"/>
                <w:sz w:val="20"/>
                <w:szCs w:val="20"/>
                <w:highlight w:val="none"/>
              </w:rPr>
              <w:t>相应资格的特种设备作业人员</w:t>
            </w:r>
          </w:p>
        </w:tc>
        <w:tc>
          <w:tcPr>
            <w:tcW w:w="6358" w:type="dxa"/>
            <w:shd w:val="clear" w:color="auto" w:fill="auto"/>
            <w:vAlign w:val="center"/>
          </w:tcPr>
          <w:p>
            <w:pPr>
              <w:spacing w:line="28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检查配合人员和使用单位聘用人员相应资格的特种设备作业人员证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2</w:t>
            </w:r>
          </w:p>
        </w:tc>
        <w:tc>
          <w:tcPr>
            <w:tcW w:w="1458" w:type="dxa"/>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培训考核</w:t>
            </w:r>
          </w:p>
          <w:p>
            <w:pPr>
              <w:jc w:val="center"/>
              <w:rPr>
                <w:rFonts w:ascii="宋体" w:hAnsi="宋体" w:eastAsia="宋体" w:cs="Times New Roman"/>
                <w:color w:val="000000"/>
                <w:kern w:val="0"/>
                <w:sz w:val="21"/>
                <w:szCs w:val="21"/>
                <w:lang w:val="en-US" w:eastAsia="zh-CN" w:bidi="ar-SA"/>
              </w:rPr>
            </w:pP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jc w:val="left"/>
              <w:rPr>
                <w:rFonts w:hint="eastAsia" w:eastAsia="宋体"/>
                <w:lang w:val="en-US" w:eastAsia="zh-CN"/>
              </w:rPr>
            </w:pPr>
            <w:r>
              <w:rPr>
                <w:rFonts w:hint="eastAsia" w:ascii="Times New Roman" w:hAnsi="Times New Roman" w:eastAsia="宋体" w:cs="Times New Roman"/>
                <w:sz w:val="20"/>
                <w:szCs w:val="22"/>
                <w:highlight w:val="none"/>
                <w:lang w:val="zh-CN" w:eastAsia="zh-CN" w:bidi="zh-CN"/>
              </w:rPr>
              <w:t>有特种设备作业人员培训考核记录</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检验最近一次的特种设备作业人员培训考核记录（含线上培训、考核记录等均视为符合要求）</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3</w:t>
            </w:r>
          </w:p>
        </w:tc>
        <w:tc>
          <w:tcPr>
            <w:tcW w:w="1458" w:type="dxa"/>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使用标志及注意事项</w:t>
            </w:r>
          </w:p>
          <w:p>
            <w:pPr>
              <w:jc w:val="center"/>
              <w:rPr>
                <w:rFonts w:hint="eastAsia" w:ascii="宋体" w:hAnsi="宋体" w:eastAsia="宋体" w:cs="Times New Roman"/>
                <w:color w:val="000000"/>
                <w:kern w:val="0"/>
                <w:szCs w:val="21"/>
                <w:lang w:val="en-US" w:eastAsia="zh-CN"/>
              </w:rPr>
            </w:pP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jc w:val="left"/>
              <w:rPr>
                <w:rFonts w:hint="eastAsia" w:ascii="宋体" w:hAnsi="宋体" w:eastAsia="宋体" w:cs="Times New Roman"/>
                <w:color w:val="000000"/>
                <w:kern w:val="0"/>
                <w:szCs w:val="21"/>
                <w:lang w:val="en-US" w:eastAsia="zh-CN"/>
              </w:rPr>
            </w:pPr>
            <w:r>
              <w:rPr>
                <w:rFonts w:hint="eastAsia" w:ascii="Times New Roman" w:hAnsi="Times New Roman" w:eastAsia="宋体" w:cs="Times New Roman"/>
                <w:sz w:val="20"/>
                <w:szCs w:val="22"/>
                <w:lang w:val="zh-CN" w:eastAsia="zh-CN" w:bidi="zh-CN"/>
              </w:rPr>
              <w:t>叉车使用单位应当在叉车明显位置标明登记标志、定期检验标志</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目测</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458" w:type="dxa"/>
            <w:shd w:val="clear" w:color="auto" w:fill="auto"/>
            <w:vAlign w:val="center"/>
          </w:tcPr>
          <w:p>
            <w:pPr>
              <w:jc w:val="center"/>
              <w:rPr>
                <w:rFonts w:hint="eastAsia" w:ascii="宋体" w:hAnsi="宋体" w:eastAsia="宋体" w:cs="Times New Roman"/>
                <w:color w:val="000000"/>
                <w:kern w:val="0"/>
                <w:szCs w:val="21"/>
                <w:lang w:val="en-US" w:eastAsia="zh-CN"/>
              </w:rPr>
            </w:pPr>
            <w:r>
              <w:rPr>
                <w:rFonts w:hint="eastAsia" w:ascii="Times New Roman" w:hAnsi="Times New Roman" w:eastAsia="宋体" w:cs="Times New Roman"/>
                <w:sz w:val="20"/>
                <w:szCs w:val="22"/>
                <w:lang w:val="zh-CN" w:eastAsia="zh-CN" w:bidi="zh-CN"/>
              </w:rPr>
              <w:t>安全操作规程</w:t>
            </w: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jc w:val="left"/>
              <w:rPr>
                <w:rFonts w:hint="eastAsia" w:ascii="宋体" w:hAnsi="宋体" w:eastAsia="宋体" w:cs="Times New Roman"/>
                <w:color w:val="000000"/>
                <w:kern w:val="0"/>
                <w:szCs w:val="21"/>
                <w:lang w:val="zh-CN" w:eastAsia="zh-CN"/>
              </w:rPr>
            </w:pPr>
            <w:r>
              <w:rPr>
                <w:rFonts w:hint="eastAsia" w:ascii="Times New Roman" w:hAnsi="Times New Roman" w:eastAsia="宋体" w:cs="Times New Roman"/>
                <w:sz w:val="20"/>
                <w:szCs w:val="22"/>
                <w:lang w:val="zh-CN" w:eastAsia="zh-CN" w:bidi="zh-CN"/>
              </w:rPr>
              <w:t>使用单位应当制定安全操作规程，并且在本单位贯彻实施</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查看是否制定安全操作规程（纸质操作规程、海报上墙或者内部违章监督管理记录等均视为符合要求）</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5</w:t>
            </w:r>
          </w:p>
        </w:tc>
        <w:tc>
          <w:tcPr>
            <w:tcW w:w="1458" w:type="dxa"/>
            <w:shd w:val="clear" w:color="auto" w:fill="auto"/>
            <w:vAlign w:val="center"/>
          </w:tcPr>
          <w:p>
            <w:pPr>
              <w:jc w:val="center"/>
              <w:rPr>
                <w:rFonts w:hint="eastAsia" w:ascii="Times New Roman" w:hAnsi="Times New Roman" w:cs="Times New Roman"/>
                <w:sz w:val="20"/>
                <w:szCs w:val="22"/>
                <w:highlight w:val="none"/>
                <w:lang w:val="en-US" w:eastAsia="zh-CN" w:bidi="zh-CN"/>
              </w:rPr>
            </w:pPr>
            <w:r>
              <w:rPr>
                <w:rFonts w:hint="eastAsia" w:ascii="Times New Roman" w:hAnsi="Times New Roman" w:cs="Times New Roman"/>
                <w:sz w:val="20"/>
                <w:szCs w:val="22"/>
                <w:highlight w:val="none"/>
                <w:lang w:val="en-US" w:eastAsia="zh-CN" w:bidi="zh-CN"/>
              </w:rPr>
              <w:t>维保制度</w:t>
            </w:r>
          </w:p>
          <w:p>
            <w:pPr>
              <w:jc w:val="center"/>
              <w:rPr>
                <w:rFonts w:ascii="宋体" w:hAnsi="宋体" w:eastAsia="宋体" w:cs="Times New Roman"/>
                <w:color w:val="000000"/>
                <w:kern w:val="0"/>
                <w:sz w:val="21"/>
                <w:szCs w:val="21"/>
                <w:lang w:val="en-US" w:eastAsia="zh-CN" w:bidi="ar-SA"/>
              </w:rPr>
            </w:pPr>
            <w:r>
              <w:rPr>
                <w:rFonts w:hint="eastAsia" w:ascii="Times New Roman" w:hAnsi="Times New Roman" w:eastAsia="宋体" w:cs="Times New Roman"/>
                <w:b/>
                <w:bCs/>
                <w:sz w:val="20"/>
                <w:szCs w:val="22"/>
                <w:highlight w:val="none"/>
                <w:lang w:val="zh-CN" w:eastAsia="zh-CN" w:bidi="zh-CN"/>
              </w:rPr>
              <w:t>（统计项）</w:t>
            </w: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rPr>
                <w:rFonts w:hint="eastAsia" w:ascii="Times New Roman" w:hAnsi="Times New Roman" w:cs="Times New Roman"/>
                <w:sz w:val="20"/>
                <w:szCs w:val="22"/>
                <w:highlight w:val="none"/>
                <w:lang w:val="zh-CN" w:eastAsia="zh-CN" w:bidi="zh-CN"/>
              </w:rPr>
              <w:t>建立维护保养制度并落实实施。（所抽查设备按要求进行经常性维护保养或者定期自行检查并有记录）</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查看维保制度，同时核查是否落实实施（如有自行检查或者维护保养记录单均视为符合要求）</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color w:val="000000"/>
                <w:szCs w:val="21"/>
                <w:lang w:val="en-US" w:eastAsia="zh-CN"/>
              </w:rPr>
              <w:t>6</w:t>
            </w:r>
          </w:p>
        </w:tc>
        <w:tc>
          <w:tcPr>
            <w:tcW w:w="1458" w:type="dxa"/>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C2.</w:t>
            </w:r>
            <w:r>
              <w:rPr>
                <w:rFonts w:hint="eastAsia" w:ascii="Times New Roman" w:hAnsi="Times New Roman" w:cs="Times New Roman"/>
                <w:sz w:val="20"/>
                <w:szCs w:val="22"/>
                <w:lang w:val="en-US" w:eastAsia="zh-CN" w:bidi="zh-CN"/>
              </w:rPr>
              <w:t>3</w:t>
            </w:r>
            <w:r>
              <w:rPr>
                <w:rFonts w:hint="eastAsia" w:ascii="Times New Roman" w:hAnsi="Times New Roman" w:eastAsia="宋体" w:cs="Times New Roman"/>
                <w:sz w:val="20"/>
                <w:szCs w:val="22"/>
                <w:lang w:val="zh-CN" w:eastAsia="zh-CN" w:bidi="zh-CN"/>
              </w:rPr>
              <w:t xml:space="preserve"> </w:t>
            </w:r>
            <w:r>
              <w:rPr>
                <w:rFonts w:hint="eastAsia" w:ascii="Times New Roman" w:hAnsi="Times New Roman" w:cs="Times New Roman"/>
                <w:sz w:val="20"/>
                <w:szCs w:val="22"/>
                <w:lang w:val="zh-CN" w:eastAsia="zh-CN" w:bidi="zh-CN"/>
              </w:rPr>
              <w:t>整车观</w:t>
            </w:r>
            <w:r>
              <w:rPr>
                <w:rFonts w:hint="eastAsia" w:ascii="Times New Roman" w:hAnsi="Times New Roman" w:eastAsia="宋体" w:cs="Times New Roman"/>
                <w:sz w:val="20"/>
                <w:szCs w:val="22"/>
                <w:lang w:val="zh-CN" w:eastAsia="zh-CN" w:bidi="zh-CN"/>
              </w:rPr>
              <w:t>检查</w:t>
            </w:r>
          </w:p>
          <w:p>
            <w:pPr>
              <w:jc w:val="center"/>
              <w:rPr>
                <w:rFonts w:ascii="宋体" w:hAnsi="宋体" w:eastAsia="宋体" w:cs="Times New Roman"/>
                <w:color w:val="000000"/>
                <w:kern w:val="0"/>
                <w:sz w:val="21"/>
                <w:szCs w:val="21"/>
                <w:lang w:val="en-US" w:eastAsia="zh-CN" w:bidi="ar-SA"/>
              </w:rPr>
            </w:pPr>
            <w:r>
              <w:rPr>
                <w:rFonts w:hint="eastAsia" w:ascii="Times New Roman" w:hAnsi="Times New Roman" w:eastAsia="宋体" w:cs="Times New Roman"/>
                <w:b/>
                <w:bCs/>
                <w:sz w:val="20"/>
                <w:szCs w:val="22"/>
                <w:highlight w:val="none"/>
                <w:lang w:val="zh-CN" w:eastAsia="zh-CN" w:bidi="zh-CN"/>
              </w:rPr>
              <w:t>（</w:t>
            </w:r>
            <w:r>
              <w:rPr>
                <w:rFonts w:hint="eastAsia" w:ascii="Times New Roman" w:hAnsi="Times New Roman" w:cs="Times New Roman"/>
                <w:b/>
                <w:bCs/>
                <w:sz w:val="20"/>
                <w:szCs w:val="22"/>
                <w:highlight w:val="none"/>
                <w:lang w:val="en-US" w:eastAsia="zh-CN" w:bidi="zh-CN"/>
              </w:rPr>
              <w:t>B</w:t>
            </w:r>
            <w:r>
              <w:rPr>
                <w:rFonts w:hint="eastAsia" w:ascii="Times New Roman" w:hAnsi="Times New Roman" w:eastAsia="宋体" w:cs="Times New Roman"/>
                <w:b/>
                <w:bCs/>
                <w:sz w:val="20"/>
                <w:szCs w:val="22"/>
                <w:highlight w:val="none"/>
                <w:lang w:val="zh-CN" w:eastAsia="zh-CN" w:bidi="zh-CN"/>
              </w:rPr>
              <w:t>）</w:t>
            </w: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t>（5）车身应当周正，各部件齐全、完整，连接紧固，无缺损；</w:t>
            </w:r>
          </w:p>
        </w:tc>
        <w:tc>
          <w:tcPr>
            <w:tcW w:w="6358" w:type="dxa"/>
            <w:shd w:val="clear" w:color="auto" w:fill="auto"/>
            <w:vAlign w:val="center"/>
          </w:tcPr>
          <w:p>
            <w:pPr>
              <w:spacing w:line="440" w:lineRule="exact"/>
              <w:rPr>
                <w:rFonts w:hint="eastAsia" w:ascii="仿宋_GB2312" w:hAnsi="宋体" w:eastAsia="仿宋_GB2312"/>
                <w:bCs/>
                <w:sz w:val="24"/>
                <w:szCs w:val="24"/>
                <w:lang w:eastAsia="zh-CN"/>
              </w:rPr>
            </w:pPr>
            <w:r>
              <w:rPr>
                <w:rFonts w:hint="eastAsia" w:cs="宋体"/>
                <w:szCs w:val="21"/>
              </w:rPr>
              <w:t>外观检查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color w:val="000000"/>
                <w:szCs w:val="21"/>
                <w:lang w:val="en-US" w:eastAsia="zh-CN"/>
              </w:rPr>
              <w:t>7</w:t>
            </w:r>
          </w:p>
        </w:tc>
        <w:tc>
          <w:tcPr>
            <w:tcW w:w="1458" w:type="dxa"/>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 xml:space="preserve">C2.4 </w:t>
            </w:r>
          </w:p>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主要受力结构件检查</w:t>
            </w:r>
          </w:p>
          <w:p>
            <w:pPr>
              <w:jc w:val="center"/>
              <w:rPr>
                <w:rFonts w:ascii="宋体" w:hAnsi="宋体" w:eastAsia="宋体" w:cs="Times New Roman"/>
                <w:bCs/>
                <w:color w:val="000000"/>
                <w:kern w:val="0"/>
                <w:sz w:val="21"/>
                <w:szCs w:val="21"/>
                <w:lang w:val="en-US" w:eastAsia="zh-CN" w:bidi="ar-SA"/>
              </w:rPr>
            </w:pPr>
            <w:r>
              <w:rPr>
                <w:rFonts w:hint="eastAsia" w:ascii="Times New Roman" w:hAnsi="Times New Roman" w:eastAsia="宋体" w:cs="Times New Roman"/>
                <w:b/>
                <w:bCs/>
                <w:sz w:val="20"/>
                <w:szCs w:val="22"/>
                <w:highlight w:val="none"/>
                <w:lang w:val="zh-CN" w:eastAsia="zh-CN" w:bidi="zh-CN"/>
              </w:rPr>
              <w:t>（</w:t>
            </w:r>
            <w:r>
              <w:rPr>
                <w:rFonts w:hint="eastAsia" w:ascii="Times New Roman" w:hAnsi="Times New Roman" w:cs="Times New Roman"/>
                <w:b/>
                <w:bCs/>
                <w:sz w:val="20"/>
                <w:szCs w:val="22"/>
                <w:highlight w:val="none"/>
                <w:lang w:val="en-US" w:eastAsia="zh-CN" w:bidi="zh-CN"/>
              </w:rPr>
              <w:t>B</w:t>
            </w:r>
            <w:r>
              <w:rPr>
                <w:rFonts w:hint="eastAsia" w:ascii="Times New Roman" w:hAnsi="Times New Roman" w:eastAsia="宋体" w:cs="Times New Roman"/>
                <w:b/>
                <w:bCs/>
                <w:sz w:val="20"/>
                <w:szCs w:val="22"/>
                <w:highlight w:val="none"/>
                <w:lang w:val="zh-CN" w:eastAsia="zh-CN" w:bidi="zh-CN"/>
              </w:rPr>
              <w:t>）</w:t>
            </w: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t>（4）主要受力结构件应当无明显变形、裂纹和锈蚀，螺栓等连接件不应当缺少和松动</w:t>
            </w:r>
          </w:p>
        </w:tc>
        <w:tc>
          <w:tcPr>
            <w:tcW w:w="6358" w:type="dxa"/>
            <w:shd w:val="clear" w:color="auto" w:fill="auto"/>
            <w:vAlign w:val="center"/>
          </w:tcPr>
          <w:p>
            <w:pPr>
              <w:spacing w:line="440" w:lineRule="exact"/>
              <w:rPr>
                <w:rFonts w:hint="eastAsia" w:ascii="仿宋_GB2312" w:hAnsi="宋体" w:eastAsia="仿宋_GB2312"/>
                <w:bCs/>
                <w:sz w:val="24"/>
                <w:szCs w:val="24"/>
                <w:lang w:eastAsia="zh-CN"/>
              </w:rPr>
            </w:pPr>
            <w:r>
              <w:rPr>
                <w:rFonts w:hint="eastAsia" w:ascii="Times New Roman" w:hAnsi="Times New Roman" w:eastAsia="宋体" w:cs="宋体"/>
                <w:szCs w:val="21"/>
                <w:lang w:eastAsia="zh-CN"/>
              </w:rPr>
              <w:t>外观检查，应注意应力较大及应力集中部位</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color w:val="000000"/>
                <w:szCs w:val="21"/>
                <w:lang w:val="en-US" w:eastAsia="zh-CN"/>
              </w:rPr>
              <w:t>8</w:t>
            </w:r>
          </w:p>
        </w:tc>
        <w:tc>
          <w:tcPr>
            <w:tcW w:w="1458" w:type="dxa"/>
            <w:vMerge w:val="restart"/>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C2.13 制动系统检查</w:t>
            </w:r>
          </w:p>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b/>
                <w:bCs/>
                <w:sz w:val="20"/>
                <w:szCs w:val="22"/>
                <w:highlight w:val="none"/>
                <w:lang w:val="zh-CN" w:eastAsia="zh-CN" w:bidi="zh-CN"/>
              </w:rPr>
              <w:t>（</w:t>
            </w:r>
            <w:r>
              <w:rPr>
                <w:rFonts w:hint="eastAsia" w:ascii="Times New Roman" w:hAnsi="Times New Roman" w:cs="Times New Roman"/>
                <w:b/>
                <w:bCs/>
                <w:sz w:val="20"/>
                <w:szCs w:val="22"/>
                <w:highlight w:val="none"/>
                <w:lang w:val="en-US" w:eastAsia="zh-CN" w:bidi="zh-CN"/>
              </w:rPr>
              <w:t>B</w:t>
            </w:r>
            <w:r>
              <w:rPr>
                <w:rFonts w:hint="eastAsia" w:ascii="Times New Roman" w:hAnsi="Times New Roman" w:eastAsia="宋体" w:cs="Times New Roman"/>
                <w:b/>
                <w:bCs/>
                <w:sz w:val="20"/>
                <w:szCs w:val="22"/>
                <w:highlight w:val="none"/>
                <w:lang w:val="zh-CN" w:eastAsia="zh-CN" w:bidi="zh-CN"/>
              </w:rPr>
              <w:t>）</w:t>
            </w:r>
          </w:p>
          <w:p>
            <w:pPr>
              <w:jc w:val="center"/>
            </w:pP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t>（2）坐驾式叉车的行车制动与驻车制动系统应当由独立的装置进行操纵</w:t>
            </w:r>
          </w:p>
        </w:tc>
        <w:tc>
          <w:tcPr>
            <w:tcW w:w="6358" w:type="dxa"/>
            <w:vMerge w:val="restart"/>
            <w:shd w:val="clear" w:color="auto" w:fill="auto"/>
            <w:vAlign w:val="center"/>
          </w:tcPr>
          <w:p>
            <w:pPr>
              <w:numPr>
                <w:ilvl w:val="0"/>
                <w:numId w:val="0"/>
              </w:numPr>
              <w:spacing w:line="440" w:lineRule="exact"/>
              <w:rPr>
                <w:rFonts w:hint="eastAsia" w:ascii="仿宋_GB2312" w:hAnsi="宋体" w:eastAsia="仿宋_GB2312"/>
                <w:bCs/>
                <w:sz w:val="24"/>
                <w:szCs w:val="24"/>
                <w:lang w:eastAsia="zh-CN"/>
              </w:rPr>
            </w:pPr>
            <w:r>
              <w:rPr>
                <w:rFonts w:hint="eastAsia" w:ascii="Times New Roman" w:hAnsi="Times New Roman" w:eastAsia="宋体" w:cs="宋体"/>
                <w:szCs w:val="21"/>
                <w:lang w:eastAsia="zh-CN"/>
              </w:rPr>
              <w:t>外观检查行车、驻车制动设置，操作验证，必要时查阅使用说明书</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color w:val="000000"/>
                <w:szCs w:val="21"/>
                <w:lang w:val="en-US" w:eastAsia="zh-CN"/>
              </w:rPr>
              <w:t>9</w:t>
            </w:r>
          </w:p>
        </w:tc>
        <w:tc>
          <w:tcPr>
            <w:tcW w:w="1458" w:type="dxa"/>
            <w:vMerge w:val="continue"/>
            <w:shd w:val="clear" w:color="auto" w:fill="auto"/>
          </w:tcPr>
          <w:p>
            <w:pPr>
              <w:jc w:val="center"/>
            </w:pP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t>（4）驻车制动系统应当通过纯机械装置把工作部件锁止，手柄操纵的驻车制动控制装置应当有防止意外释放的功能</w:t>
            </w:r>
          </w:p>
        </w:tc>
        <w:tc>
          <w:tcPr>
            <w:tcW w:w="6358"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r>
              <w:rPr>
                <w:rFonts w:hint="eastAsia"/>
                <w:color w:val="000000"/>
                <w:szCs w:val="21"/>
                <w:lang w:val="en-US" w:eastAsia="zh-CN"/>
              </w:rPr>
              <w:t>0</w:t>
            </w:r>
          </w:p>
        </w:tc>
        <w:tc>
          <w:tcPr>
            <w:tcW w:w="1458" w:type="dxa"/>
            <w:vMerge w:val="restart"/>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C2.16 安全保护与防护装置检查</w:t>
            </w:r>
          </w:p>
          <w:p>
            <w:pPr>
              <w:jc w:val="center"/>
              <w:rPr>
                <w:rFonts w:ascii="宋体" w:hAnsi="宋体" w:eastAsia="宋体" w:cs="Times New Roman"/>
                <w:bCs/>
                <w:color w:val="000000"/>
                <w:kern w:val="0"/>
                <w:sz w:val="21"/>
                <w:szCs w:val="21"/>
                <w:lang w:val="en-US" w:eastAsia="zh-CN" w:bidi="ar-SA"/>
              </w:rPr>
            </w:pPr>
            <w:r>
              <w:rPr>
                <w:rFonts w:hint="eastAsia" w:ascii="Times New Roman" w:hAnsi="Times New Roman" w:eastAsia="宋体" w:cs="Times New Roman"/>
                <w:b/>
                <w:bCs/>
                <w:sz w:val="20"/>
                <w:szCs w:val="22"/>
                <w:highlight w:val="none"/>
                <w:lang w:val="zh-CN" w:eastAsia="zh-CN" w:bidi="zh-CN"/>
              </w:rPr>
              <w:t>（</w:t>
            </w:r>
            <w:r>
              <w:rPr>
                <w:rFonts w:hint="eastAsia" w:ascii="Times New Roman" w:hAnsi="Times New Roman" w:cs="Times New Roman"/>
                <w:b/>
                <w:bCs/>
                <w:sz w:val="20"/>
                <w:szCs w:val="22"/>
                <w:highlight w:val="none"/>
                <w:lang w:val="en-US" w:eastAsia="zh-CN" w:bidi="zh-CN"/>
              </w:rPr>
              <w:t>B</w:t>
            </w:r>
            <w:r>
              <w:rPr>
                <w:rFonts w:hint="eastAsia" w:ascii="Times New Roman" w:hAnsi="Times New Roman" w:eastAsia="宋体" w:cs="Times New Roman"/>
                <w:b/>
                <w:bCs/>
                <w:sz w:val="20"/>
                <w:szCs w:val="22"/>
                <w:highlight w:val="none"/>
                <w:lang w:val="zh-CN" w:eastAsia="zh-CN" w:bidi="zh-CN"/>
              </w:rPr>
              <w:t>）</w:t>
            </w:r>
          </w:p>
        </w:tc>
        <w:tc>
          <w:tcPr>
            <w:tcW w:w="5225" w:type="dxa"/>
            <w:shd w:val="clear" w:color="auto" w:fill="auto"/>
            <w:vAlign w:val="center"/>
          </w:tcPr>
          <w:p>
            <w:pPr>
              <w:rPr>
                <w:rFonts w:ascii="宋体" w:hAnsi="宋体" w:eastAsia="宋体" w:cs="Times New Roman"/>
                <w:color w:val="000000"/>
                <w:kern w:val="0"/>
                <w:sz w:val="21"/>
                <w:szCs w:val="21"/>
                <w:lang w:val="en-US" w:eastAsia="zh-CN" w:bidi="ar-SA"/>
              </w:rPr>
            </w:pPr>
            <w:r>
              <w:t>（4）乘驾式叉车应当设置由司机控制、能够发出清晰声响的警示装置（至少包括喇叭、倒车蜂鸣器），其中，设计为司机侧站或者侧坐驾驶的叉车可不设置倒车蜂鸣器</w:t>
            </w:r>
          </w:p>
        </w:tc>
        <w:tc>
          <w:tcPr>
            <w:tcW w:w="6358" w:type="dxa"/>
            <w:vMerge w:val="restart"/>
            <w:shd w:val="clear" w:color="auto" w:fill="auto"/>
            <w:vAlign w:val="center"/>
          </w:tcPr>
          <w:p>
            <w:pPr>
              <w:spacing w:line="440" w:lineRule="exact"/>
              <w:rPr>
                <w:rFonts w:hint="eastAsia" w:ascii="仿宋_GB2312" w:hAnsi="宋体" w:eastAsia="仿宋_GB2312"/>
                <w:bCs/>
                <w:sz w:val="24"/>
                <w:szCs w:val="24"/>
                <w:lang w:eastAsia="zh-CN"/>
              </w:rPr>
            </w:pPr>
            <w:r>
              <w:rPr>
                <w:rFonts w:hint="eastAsia" w:ascii="Times New Roman" w:hAnsi="Times New Roman" w:eastAsia="宋体" w:cs="宋体"/>
                <w:szCs w:val="21"/>
                <w:lang w:eastAsia="zh-CN"/>
              </w:rPr>
              <w:t>外观检查，操作试验，必要的测量及必要时查阅出厂资料</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r>
              <w:rPr>
                <w:rFonts w:hint="eastAsia"/>
                <w:color w:val="000000"/>
                <w:szCs w:val="21"/>
                <w:lang w:val="en-US" w:eastAsia="zh-CN"/>
              </w:rPr>
              <w:t>1</w:t>
            </w:r>
          </w:p>
        </w:tc>
        <w:tc>
          <w:tcPr>
            <w:tcW w:w="1458" w:type="dxa"/>
            <w:vMerge w:val="continue"/>
            <w:shd w:val="clear" w:color="auto" w:fill="auto"/>
          </w:tcPr>
          <w:p>
            <w:pPr>
              <w:jc w:val="center"/>
            </w:pPr>
          </w:p>
        </w:tc>
        <w:tc>
          <w:tcPr>
            <w:tcW w:w="5225" w:type="dxa"/>
            <w:shd w:val="clear" w:color="auto" w:fill="auto"/>
            <w:vAlign w:val="center"/>
          </w:tcPr>
          <w:p>
            <w:pPr>
              <w:rPr>
                <w:rFonts w:ascii="宋体" w:hAnsi="宋体" w:eastAsia="宋体" w:cs="Times New Roman"/>
                <w:color w:val="000000"/>
                <w:kern w:val="0"/>
                <w:sz w:val="21"/>
                <w:szCs w:val="21"/>
                <w:lang w:val="en-US" w:eastAsia="zh-CN" w:bidi="ar-SA"/>
              </w:rPr>
            </w:pPr>
            <w:r>
              <w:t>（5）坐驾式平衡重式叉车和侧面式叉车应当设置后视镜，侧面式叉车货叉侧和额定起重量大于10000kg的坐驾式平衡重式叉车后方还应当设置视频监视装置</w:t>
            </w:r>
          </w:p>
        </w:tc>
        <w:tc>
          <w:tcPr>
            <w:tcW w:w="6358"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r>
              <w:rPr>
                <w:rFonts w:hint="eastAsia"/>
                <w:color w:val="000000"/>
                <w:szCs w:val="21"/>
                <w:lang w:val="en-US" w:eastAsia="zh-CN"/>
              </w:rPr>
              <w:t>2</w:t>
            </w:r>
          </w:p>
        </w:tc>
        <w:tc>
          <w:tcPr>
            <w:tcW w:w="1458" w:type="dxa"/>
            <w:vMerge w:val="continue"/>
            <w:shd w:val="clear" w:color="auto" w:fill="auto"/>
          </w:tcPr>
          <w:p>
            <w:pPr>
              <w:jc w:val="center"/>
            </w:pPr>
          </w:p>
        </w:tc>
        <w:tc>
          <w:tcPr>
            <w:tcW w:w="5225" w:type="dxa"/>
            <w:shd w:val="clear" w:color="auto" w:fill="auto"/>
            <w:vAlign w:val="center"/>
          </w:tcPr>
          <w:p>
            <w:pPr>
              <w:rPr>
                <w:rFonts w:ascii="宋体" w:hAnsi="宋体" w:eastAsia="宋体" w:cs="Times New Roman"/>
                <w:color w:val="000000"/>
                <w:kern w:val="0"/>
                <w:sz w:val="21"/>
                <w:szCs w:val="21"/>
                <w:lang w:val="en-US" w:eastAsia="zh-CN" w:bidi="ar-SA"/>
              </w:rPr>
            </w:pPr>
            <w:r>
              <w:t>（6）额定起重量不大于10000kg的坐驾式平衡重式叉车和侧面式叉车(单侧)应当配备司机防护约束装置(如安全带)</w:t>
            </w:r>
          </w:p>
        </w:tc>
        <w:tc>
          <w:tcPr>
            <w:tcW w:w="6358"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r>
              <w:rPr>
                <w:rFonts w:hint="eastAsia"/>
                <w:color w:val="000000"/>
                <w:szCs w:val="21"/>
                <w:lang w:val="en-US" w:eastAsia="zh-CN"/>
              </w:rPr>
              <w:t>3</w:t>
            </w:r>
          </w:p>
        </w:tc>
        <w:tc>
          <w:tcPr>
            <w:tcW w:w="1458" w:type="dxa"/>
            <w:vMerge w:val="continue"/>
            <w:shd w:val="clear" w:color="auto" w:fill="auto"/>
          </w:tcPr>
          <w:p>
            <w:pPr>
              <w:jc w:val="center"/>
            </w:pPr>
          </w:p>
        </w:tc>
        <w:tc>
          <w:tcPr>
            <w:tcW w:w="5225" w:type="dxa"/>
            <w:shd w:val="clear" w:color="auto" w:fill="auto"/>
            <w:vAlign w:val="center"/>
          </w:tcPr>
          <w:p>
            <w:pPr>
              <w:rPr>
                <w:rFonts w:ascii="宋体" w:hAnsi="宋体" w:eastAsia="宋体" w:cs="Times New Roman"/>
                <w:color w:val="000000"/>
                <w:kern w:val="0"/>
                <w:sz w:val="21"/>
                <w:szCs w:val="21"/>
                <w:lang w:val="en-US" w:eastAsia="zh-CN" w:bidi="ar-SA"/>
              </w:rPr>
            </w:pPr>
            <w:r>
              <w:t>（9）起升装置应当设置防越程装置，避免货叉架和门架上的运动部件从门架上端意外脱落</w:t>
            </w:r>
          </w:p>
        </w:tc>
        <w:tc>
          <w:tcPr>
            <w:tcW w:w="6358"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r>
              <w:rPr>
                <w:rFonts w:hint="eastAsia"/>
                <w:color w:val="000000"/>
                <w:szCs w:val="21"/>
                <w:lang w:val="en-US" w:eastAsia="zh-CN"/>
              </w:rPr>
              <w:t>4</w:t>
            </w:r>
          </w:p>
        </w:tc>
        <w:tc>
          <w:tcPr>
            <w:tcW w:w="1458" w:type="dxa"/>
            <w:vMerge w:val="restart"/>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C2.17 安全监控装置检查</w:t>
            </w:r>
          </w:p>
          <w:p>
            <w:pPr>
              <w:jc w:val="center"/>
            </w:pPr>
            <w:r>
              <w:rPr>
                <w:rFonts w:hint="eastAsia" w:ascii="Times New Roman" w:hAnsi="Times New Roman" w:eastAsia="宋体" w:cs="Times New Roman"/>
                <w:b/>
                <w:bCs/>
                <w:sz w:val="20"/>
                <w:szCs w:val="22"/>
                <w:highlight w:val="none"/>
                <w:lang w:val="zh-CN" w:eastAsia="zh-CN" w:bidi="zh-CN"/>
              </w:rPr>
              <w:t>（</w:t>
            </w:r>
            <w:r>
              <w:rPr>
                <w:rFonts w:hint="eastAsia" w:ascii="Times New Roman" w:hAnsi="Times New Roman" w:cs="Times New Roman"/>
                <w:b/>
                <w:bCs/>
                <w:sz w:val="20"/>
                <w:szCs w:val="22"/>
                <w:highlight w:val="none"/>
                <w:lang w:val="en-US" w:eastAsia="zh-CN" w:bidi="zh-CN"/>
              </w:rPr>
              <w:t>B</w:t>
            </w:r>
            <w:r>
              <w:rPr>
                <w:rFonts w:hint="eastAsia" w:ascii="Times New Roman" w:hAnsi="Times New Roman" w:eastAsia="宋体" w:cs="Times New Roman"/>
                <w:b/>
                <w:bCs/>
                <w:sz w:val="20"/>
                <w:szCs w:val="22"/>
                <w:highlight w:val="none"/>
                <w:lang w:val="zh-CN" w:eastAsia="zh-CN" w:bidi="zh-CN"/>
              </w:rPr>
              <w:t>）</w:t>
            </w: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rPr>
                <w:rFonts w:hint="eastAsia" w:ascii="宋体" w:hAnsi="宋体"/>
                <w:color w:val="000000"/>
                <w:kern w:val="0"/>
                <w:szCs w:val="21"/>
              </w:rPr>
              <w:t>（1）乘驾式电动叉车、电液换向的乘驾式内燃平衡重式叉车、电液换向的乘驾式 内燃侧面式叉车应当设置司机坐(站)姿状态感知系统，当司机不在正常操作位置时, 车辆不能进行动力运行，即使操纵载荷装卸控制装置，也不应当出现门架的倾斜和货叉架的移动；当司机回到正常操作位置，但没有进行额外操作时，动力运行、门架的 倾斜和货叉架的移动均不应当自动发生；</w:t>
            </w:r>
          </w:p>
        </w:tc>
        <w:tc>
          <w:tcPr>
            <w:tcW w:w="6358" w:type="dxa"/>
            <w:shd w:val="clear" w:color="auto" w:fill="auto"/>
            <w:vAlign w:val="center"/>
          </w:tcPr>
          <w:p>
            <w:pPr>
              <w:numPr>
                <w:ilvl w:val="0"/>
                <w:numId w:val="0"/>
              </w:numPr>
              <w:spacing w:line="440" w:lineRule="exact"/>
              <w:ind w:firstLine="480" w:firstLineChars="200"/>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① 叉车正常工作状态,驻车后操作者离开正常操作位置，操作前进或后退手柄(按钮),叉车能否前进或后退；操作门架的倾斜或货叉架移动手柄(按钮)，门架和货叉架是否运动。</w:t>
            </w:r>
          </w:p>
          <w:p>
            <w:pPr>
              <w:numPr>
                <w:ilvl w:val="0"/>
                <w:numId w:val="0"/>
              </w:numPr>
              <w:spacing w:line="440" w:lineRule="exact"/>
              <w:ind w:firstLine="480" w:firstLineChars="200"/>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② 司机回到正常操作位置，但没有进行额外操作时，叉车是否自动动力运行、门架倾斜和货叉架移动。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r>
              <w:rPr>
                <w:rFonts w:hint="eastAsia"/>
                <w:color w:val="000000"/>
                <w:szCs w:val="21"/>
                <w:lang w:val="en-US" w:eastAsia="zh-CN"/>
              </w:rPr>
              <w:t>5</w:t>
            </w:r>
          </w:p>
        </w:tc>
        <w:tc>
          <w:tcPr>
            <w:tcW w:w="1458" w:type="dxa"/>
            <w:vMerge w:val="continue"/>
            <w:shd w:val="clear" w:color="auto" w:fill="auto"/>
          </w:tcPr>
          <w:p>
            <w:pPr>
              <w:jc w:val="center"/>
            </w:pP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rPr>
                <w:rFonts w:hint="eastAsia" w:ascii="宋体" w:hAnsi="宋体"/>
                <w:color w:val="000000"/>
                <w:kern w:val="0"/>
                <w:szCs w:val="21"/>
              </w:rPr>
              <w:t>（2）应当设置司机权限信息采集器，通过指纹、虹膜、人脸特征等生物信息或者磁卡等与个人身份信息唯一绑定的媒介，验证司机操作权限，当该采集器失效、拆除或者司机信息不正确时，车辆不能启动；</w:t>
            </w:r>
          </w:p>
        </w:tc>
        <w:tc>
          <w:tcPr>
            <w:tcW w:w="6358" w:type="dxa"/>
            <w:shd w:val="clear" w:color="auto" w:fill="auto"/>
            <w:vAlign w:val="center"/>
          </w:tcPr>
          <w:p>
            <w:pPr>
              <w:numPr>
                <w:ilvl w:val="0"/>
                <w:numId w:val="0"/>
              </w:numPr>
              <w:spacing w:line="440" w:lineRule="exact"/>
              <w:ind w:firstLine="480" w:firstLineChars="200"/>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① 叉车通电后，输入操作者信息，依次进行正确的信息输入和不正确的信息输入，是否有输入完成的提醒，输入正确的信息后，叉车才能启动；输入不正确的信息后，叉车不能启动；正确的信息和不正确的信息采集后提醒是否一致。</w:t>
            </w:r>
          </w:p>
          <w:p>
            <w:pPr>
              <w:numPr>
                <w:ilvl w:val="0"/>
                <w:numId w:val="0"/>
              </w:numPr>
              <w:spacing w:line="440" w:lineRule="exact"/>
              <w:ind w:leftChars="200"/>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② 检查是否安装牢固且不易拆除；拆除后验证叉车是否能启动。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1</w:t>
            </w:r>
            <w:r>
              <w:rPr>
                <w:rFonts w:hint="eastAsia" w:cs="Times New Roman"/>
                <w:color w:val="000000"/>
                <w:kern w:val="2"/>
                <w:sz w:val="21"/>
                <w:szCs w:val="21"/>
                <w:lang w:val="en-US" w:eastAsia="zh-CN" w:bidi="ar-SA"/>
              </w:rPr>
              <w:t>6</w:t>
            </w:r>
          </w:p>
        </w:tc>
        <w:tc>
          <w:tcPr>
            <w:tcW w:w="1458" w:type="dxa"/>
            <w:vMerge w:val="restart"/>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C3.5 制动性能试验</w:t>
            </w:r>
          </w:p>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b/>
                <w:bCs/>
                <w:sz w:val="20"/>
                <w:szCs w:val="22"/>
                <w:highlight w:val="none"/>
                <w:lang w:val="zh-CN" w:eastAsia="zh-CN" w:bidi="zh-CN"/>
              </w:rPr>
              <w:t>（</w:t>
            </w:r>
            <w:r>
              <w:rPr>
                <w:rFonts w:hint="eastAsia" w:ascii="Times New Roman" w:hAnsi="Times New Roman" w:cs="Times New Roman"/>
                <w:b/>
                <w:bCs/>
                <w:sz w:val="20"/>
                <w:szCs w:val="22"/>
                <w:highlight w:val="none"/>
                <w:lang w:val="en-US" w:eastAsia="zh-CN" w:bidi="zh-CN"/>
              </w:rPr>
              <w:t>A</w:t>
            </w:r>
            <w:r>
              <w:rPr>
                <w:rFonts w:hint="eastAsia" w:ascii="Times New Roman" w:hAnsi="Times New Roman" w:eastAsia="宋体" w:cs="Times New Roman"/>
                <w:b/>
                <w:bCs/>
                <w:sz w:val="20"/>
                <w:szCs w:val="22"/>
                <w:highlight w:val="none"/>
                <w:lang w:val="zh-CN" w:eastAsia="zh-CN" w:bidi="zh-CN"/>
              </w:rPr>
              <w:t>）</w:t>
            </w:r>
          </w:p>
          <w:p>
            <w:pPr>
              <w:jc w:val="center"/>
            </w:pP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rPr>
                <w:rFonts w:hint="eastAsia" w:ascii="宋体" w:hAnsi="宋体"/>
                <w:color w:val="000000"/>
                <w:kern w:val="0"/>
                <w:szCs w:val="21"/>
              </w:rPr>
              <w:t>（1）按照GB/T 18849—2011中6.1规定的工况、试验方法和要求进行试验，检查其结果是否符合标准要求；</w:t>
            </w:r>
          </w:p>
        </w:tc>
        <w:tc>
          <w:tcPr>
            <w:tcW w:w="6358" w:type="dxa"/>
            <w:shd w:val="clear" w:color="auto" w:fill="auto"/>
            <w:vAlign w:val="center"/>
          </w:tcPr>
          <w:p>
            <w:pPr>
              <w:spacing w:line="44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坡道驻车制动试验：无载状态，变速箱置空挡（如有时），发动机熄火或关闭运行电动机，操作驻车制动装置，将叉车停在作业区域中较大坡道上（由使用单位指引），停稳后观察5 min，车辆保持不动。上坡、下坡各进行一次。</w:t>
            </w:r>
          </w:p>
          <w:p>
            <w:pPr>
              <w:spacing w:line="44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如果坡度超过15%，停车制动器手柄上施加的最大操纵力可超过300N，但不应超过500N。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default" w:ascii="宋体" w:hAnsi="宋体"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17</w:t>
            </w:r>
          </w:p>
        </w:tc>
        <w:tc>
          <w:tcPr>
            <w:tcW w:w="1458" w:type="dxa"/>
            <w:vMerge w:val="continue"/>
            <w:shd w:val="clear" w:color="auto" w:fill="auto"/>
          </w:tcPr>
          <w:p>
            <w:pPr>
              <w:jc w:val="center"/>
            </w:pP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rPr>
                <w:rFonts w:hint="eastAsia" w:ascii="宋体" w:hAnsi="宋体"/>
                <w:color w:val="000000"/>
                <w:kern w:val="0"/>
                <w:szCs w:val="21"/>
              </w:rPr>
              <w:t>（</w:t>
            </w:r>
            <w:r>
              <w:rPr>
                <w:rFonts w:hint="eastAsia" w:ascii="宋体" w:hAnsi="宋体"/>
                <w:color w:val="000000"/>
                <w:kern w:val="0"/>
                <w:szCs w:val="21"/>
                <w:lang w:val="en-US" w:eastAsia="zh-CN"/>
              </w:rPr>
              <w:t>3</w:t>
            </w:r>
            <w:r>
              <w:rPr>
                <w:rFonts w:hint="eastAsia" w:ascii="宋体" w:hAnsi="宋体"/>
                <w:color w:val="000000"/>
                <w:kern w:val="0"/>
                <w:szCs w:val="21"/>
              </w:rPr>
              <w:t>）按照GB/T 18849—2011中6.2.1规定的工况、试验方法和要求进行试验，检查其结果是否符合标准要求。</w:t>
            </w:r>
          </w:p>
        </w:tc>
        <w:tc>
          <w:tcPr>
            <w:tcW w:w="6358" w:type="dxa"/>
            <w:shd w:val="clear" w:color="auto" w:fill="auto"/>
            <w:vAlign w:val="center"/>
          </w:tcPr>
          <w:p>
            <w:pPr>
              <w:spacing w:line="44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制动距离测定：</w:t>
            </w:r>
          </w:p>
          <w:p>
            <w:pPr>
              <w:spacing w:line="44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① 叉车空载行走工况，道路宜为平坦、干燥、清洁、硬实的沥青或水泥路面，在平直线路上以最高挡位，动力保持稳定，叉车于规定试验速度匀速行驶，启动操纵装置（此时车辆变速器应置于空档），应能够可靠制停。使用微机制动分析仪进行测量或者按拖痕法用钢卷尺进行测量。</w:t>
            </w:r>
          </w:p>
          <w:p>
            <w:pPr>
              <w:spacing w:line="44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② 应在车辆前进行驶时测2次,即沿场地前后两个方向各行驶1次；同样后退行驶时也测2次。每次试验前制动器应为冷态。</w:t>
            </w:r>
          </w:p>
          <w:p>
            <w:pPr>
              <w:spacing w:line="44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③ 前进行驶和后退行驶的制动距离和车辆速度应是沿场地前后两个方向试验所得测量值的平均值。</w:t>
            </w:r>
          </w:p>
          <w:p>
            <w:pPr>
              <w:spacing w:line="44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④ 根据所测数值与</w:t>
            </w:r>
            <w:r>
              <w:rPr>
                <w:rFonts w:hint="eastAsia" w:ascii="宋体" w:hAnsi="宋体"/>
                <w:color w:val="000000"/>
                <w:kern w:val="0"/>
                <w:szCs w:val="21"/>
              </w:rPr>
              <w:t>GB/T 18849—2011中</w:t>
            </w:r>
            <w:r>
              <w:rPr>
                <w:rFonts w:hint="eastAsia" w:ascii="仿宋_GB2312" w:hAnsi="宋体" w:eastAsia="仿宋_GB2312"/>
                <w:bCs/>
                <w:sz w:val="24"/>
                <w:szCs w:val="24"/>
                <w:lang w:eastAsia="zh-CN"/>
              </w:rPr>
              <w:t>表《考虑速度v (km/h)的制动距离</w:t>
            </w:r>
            <w:r>
              <w:rPr>
                <w:rFonts w:hint="eastAsia" w:ascii="仿宋_GB2312" w:hAnsi="宋体" w:eastAsia="仿宋_GB2312"/>
                <w:bCs/>
                <w:sz w:val="24"/>
                <w:szCs w:val="24"/>
                <w:lang w:val="en-US" w:eastAsia="zh-CN"/>
              </w:rPr>
              <w:t>s</w:t>
            </w:r>
            <w:r>
              <w:rPr>
                <w:rFonts w:hint="eastAsia" w:ascii="仿宋_GB2312" w:hAnsi="宋体" w:eastAsia="仿宋_GB2312"/>
                <w:bCs/>
                <w:sz w:val="24"/>
                <w:szCs w:val="24"/>
                <w:vertAlign w:val="subscript"/>
                <w:lang w:eastAsia="zh-CN"/>
              </w:rPr>
              <w:t>0</w:t>
            </w:r>
            <w:r>
              <w:rPr>
                <w:rFonts w:hint="eastAsia" w:ascii="仿宋_GB2312" w:hAnsi="宋体" w:eastAsia="仿宋_GB2312"/>
                <w:bCs/>
                <w:sz w:val="24"/>
                <w:szCs w:val="24"/>
                <w:lang w:eastAsia="zh-CN"/>
              </w:rPr>
              <w:t>(m)》的要求对比进行判定。</w:t>
            </w:r>
          </w:p>
          <w:p/>
        </w:tc>
      </w:tr>
    </w:tbl>
    <w:p>
      <w:pPr>
        <w:spacing w:line="280" w:lineRule="exact"/>
        <w:rPr>
          <w:rFonts w:hint="eastAsia" w:ascii="宋体" w:hAnsi="宋体" w:eastAsia="宋体" w:cs="宋体"/>
          <w:kern w:val="2"/>
          <w:sz w:val="21"/>
          <w:szCs w:val="21"/>
          <w:lang w:val="en-US" w:eastAsia="zh-CN" w:bidi="ar-SA"/>
        </w:rPr>
      </w:pPr>
      <w:r>
        <w:rPr>
          <w:rFonts w:hint="eastAsia" w:cs="宋体"/>
          <w:szCs w:val="21"/>
        </w:rPr>
        <w:t>备注：</w:t>
      </w:r>
      <w:r>
        <w:rPr>
          <w:rFonts w:hint="eastAsia" w:ascii="宋体" w:hAnsi="宋体" w:eastAsia="宋体" w:cs="宋体"/>
          <w:kern w:val="2"/>
          <w:sz w:val="21"/>
          <w:szCs w:val="21"/>
          <w:lang w:val="en-US" w:eastAsia="zh-CN" w:bidi="ar-SA"/>
        </w:rPr>
        <w:t>1、第1</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项的项目内容与</w:t>
      </w:r>
      <w:r>
        <w:rPr>
          <w:rFonts w:hint="eastAsia" w:ascii="宋体" w:hAnsi="宋体"/>
          <w:color w:val="000000"/>
          <w:kern w:val="0"/>
          <w:szCs w:val="21"/>
        </w:rPr>
        <w:t>特种设备使用管理规则（TSG 08-2017）</w:t>
      </w:r>
      <w:r>
        <w:rPr>
          <w:rFonts w:hint="eastAsia"/>
          <w:color w:val="000000"/>
          <w:kern w:val="0"/>
          <w:szCs w:val="21"/>
          <w:lang w:eastAsia="zh-CN"/>
        </w:rPr>
        <w:t>中</w:t>
      </w:r>
      <w:r>
        <w:rPr>
          <w:rFonts w:hint="eastAsia" w:ascii="宋体" w:hAnsi="宋体" w:eastAsia="宋体" w:cs="宋体"/>
          <w:kern w:val="2"/>
          <w:sz w:val="21"/>
          <w:szCs w:val="21"/>
          <w:lang w:val="en-US" w:eastAsia="zh-CN" w:bidi="ar-SA"/>
        </w:rPr>
        <w:t>对作业人员的要求相对应；</w:t>
      </w:r>
    </w:p>
    <w:p>
      <w:pPr>
        <w:pStyle w:val="11"/>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第3项的项目内容与《特种设备安全法》第三十三条和第四十条相关内容相对应；</w:t>
      </w:r>
    </w:p>
    <w:p>
      <w:pPr>
        <w:pStyle w:val="11"/>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第</w:t>
      </w:r>
      <w:r>
        <w:rPr>
          <w:rFonts w:hint="eastAsia" w:cs="Times New Roman"/>
          <w:color w:val="000000"/>
          <w:kern w:val="0"/>
          <w:sz w:val="21"/>
          <w:szCs w:val="21"/>
          <w:lang w:val="en-US" w:eastAsia="zh-CN" w:bidi="ar-SA"/>
        </w:rPr>
        <w:t>4</w:t>
      </w:r>
      <w:r>
        <w:rPr>
          <w:rFonts w:hint="eastAsia" w:ascii="宋体" w:hAnsi="宋体" w:eastAsia="宋体" w:cs="Times New Roman"/>
          <w:color w:val="000000"/>
          <w:kern w:val="0"/>
          <w:sz w:val="21"/>
          <w:szCs w:val="21"/>
          <w:lang w:val="en-US" w:eastAsia="zh-CN" w:bidi="ar-SA"/>
        </w:rPr>
        <w:t>项的项目内容对应《场（厂）内专用机动车辆安全技</w:t>
      </w:r>
      <w:r>
        <w:rPr>
          <w:rFonts w:hint="eastAsia" w:ascii="宋体" w:hAnsi="宋体" w:eastAsia="宋体" w:cs="宋体"/>
          <w:kern w:val="2"/>
          <w:sz w:val="21"/>
          <w:szCs w:val="21"/>
          <w:lang w:val="en-US" w:eastAsia="zh-CN" w:bidi="ar-SA"/>
        </w:rPr>
        <w:t>术规程》（</w:t>
      </w:r>
      <w:r>
        <w:rPr>
          <w:rFonts w:hint="default" w:ascii="宋体" w:hAnsi="宋体" w:eastAsia="宋体" w:cs="宋体"/>
          <w:kern w:val="2"/>
          <w:sz w:val="21"/>
          <w:szCs w:val="21"/>
          <w:lang w:val="en-US" w:eastAsia="zh-CN" w:bidi="ar-SA"/>
        </w:rPr>
        <w:t>TSG 81-2022</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5.1.4</w:t>
      </w:r>
      <w:r>
        <w:rPr>
          <w:rFonts w:hint="eastAsia" w:ascii="宋体" w:hAnsi="宋体" w:eastAsia="宋体" w:cs="宋体"/>
          <w:kern w:val="2"/>
          <w:sz w:val="21"/>
          <w:szCs w:val="21"/>
          <w:lang w:val="en-US" w:eastAsia="zh-CN" w:bidi="ar-SA"/>
        </w:rPr>
        <w:t>条内容相对应；</w:t>
      </w:r>
    </w:p>
    <w:p>
      <w:pPr>
        <w:pStyle w:val="11"/>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宋体"/>
          <w:kern w:val="2"/>
          <w:sz w:val="21"/>
          <w:szCs w:val="21"/>
          <w:lang w:val="en-US" w:eastAsia="zh-CN" w:bidi="ar-SA"/>
        </w:rPr>
        <w:t>第</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项的项目</w:t>
      </w:r>
      <w:r>
        <w:rPr>
          <w:rFonts w:hint="eastAsia" w:ascii="宋体" w:hAnsi="宋体" w:eastAsia="宋体" w:cs="Times New Roman"/>
          <w:color w:val="000000"/>
          <w:kern w:val="0"/>
          <w:sz w:val="21"/>
          <w:szCs w:val="21"/>
          <w:lang w:val="en-US" w:eastAsia="zh-CN" w:bidi="ar-SA"/>
        </w:rPr>
        <w:t>内容与特种设备使用管理规则（TSG 08-2017）中对</w:t>
      </w:r>
      <w:r>
        <w:rPr>
          <w:rFonts w:hint="eastAsia" w:cs="Times New Roman"/>
          <w:color w:val="000000"/>
          <w:kern w:val="0"/>
          <w:sz w:val="21"/>
          <w:szCs w:val="21"/>
          <w:lang w:val="en-US" w:eastAsia="zh-CN" w:bidi="ar-SA"/>
        </w:rPr>
        <w:t>管理制度的要求</w:t>
      </w:r>
      <w:r>
        <w:rPr>
          <w:rFonts w:hint="eastAsia" w:ascii="宋体" w:hAnsi="宋体" w:eastAsia="宋体" w:cs="Times New Roman"/>
          <w:color w:val="000000"/>
          <w:kern w:val="0"/>
          <w:sz w:val="21"/>
          <w:szCs w:val="21"/>
          <w:lang w:val="en-US" w:eastAsia="zh-CN" w:bidi="ar-SA"/>
        </w:rPr>
        <w:t>相对应；</w:t>
      </w:r>
    </w:p>
    <w:p>
      <w:pPr>
        <w:pStyle w:val="11"/>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cs="宋体"/>
          <w:szCs w:val="21"/>
        </w:rPr>
      </w:pPr>
      <w:r>
        <w:rPr>
          <w:rFonts w:hint="eastAsia" w:cs="宋体"/>
          <w:kern w:val="2"/>
          <w:sz w:val="21"/>
          <w:szCs w:val="21"/>
          <w:highlight w:val="none"/>
          <w:lang w:val="en-US" w:eastAsia="zh-CN" w:bidi="ar-SA"/>
        </w:rPr>
        <w:t>第6至第17抽查</w:t>
      </w:r>
      <w:r>
        <w:rPr>
          <w:rFonts w:hint="eastAsia" w:ascii="宋体" w:hAnsi="宋体" w:eastAsia="宋体" w:cs="宋体"/>
          <w:kern w:val="2"/>
          <w:sz w:val="21"/>
          <w:szCs w:val="21"/>
          <w:highlight w:val="none"/>
          <w:lang w:val="en-US" w:eastAsia="zh-CN" w:bidi="ar-SA"/>
        </w:rPr>
        <w:t>项目</w:t>
      </w:r>
      <w:r>
        <w:rPr>
          <w:rFonts w:hint="eastAsia" w:ascii="宋体" w:hAnsi="宋体" w:eastAsia="宋体" w:cs="宋体"/>
          <w:kern w:val="2"/>
          <w:sz w:val="21"/>
          <w:szCs w:val="21"/>
          <w:lang w:val="en-US" w:eastAsia="zh-CN" w:bidi="ar-SA"/>
        </w:rPr>
        <w:t>对应《场（厂）内专用机动车辆安全技术规程》（</w:t>
      </w:r>
      <w:r>
        <w:rPr>
          <w:rFonts w:hint="default" w:ascii="宋体" w:hAnsi="宋体" w:eastAsia="宋体" w:cs="宋体"/>
          <w:kern w:val="2"/>
          <w:sz w:val="21"/>
          <w:szCs w:val="21"/>
          <w:lang w:val="en-US" w:eastAsia="zh-CN" w:bidi="ar-SA"/>
        </w:rPr>
        <w:t>TSG 81-2022</w:t>
      </w:r>
      <w:r>
        <w:rPr>
          <w:rFonts w:hint="eastAsia" w:ascii="宋体" w:hAnsi="宋体" w:eastAsia="宋体" w:cs="宋体"/>
          <w:kern w:val="2"/>
          <w:sz w:val="21"/>
          <w:szCs w:val="21"/>
          <w:lang w:val="en-US" w:eastAsia="zh-CN" w:bidi="ar-SA"/>
        </w:rPr>
        <w:t>）的附件</w:t>
      </w:r>
      <w:r>
        <w:rPr>
          <w:rFonts w:hint="default" w:ascii="宋体" w:hAnsi="宋体" w:eastAsia="宋体" w:cs="宋体"/>
          <w:kern w:val="2"/>
          <w:sz w:val="21"/>
          <w:szCs w:val="21"/>
          <w:lang w:val="en-US" w:eastAsia="zh-CN" w:bidi="ar-SA"/>
        </w:rPr>
        <w:t>C</w:t>
      </w:r>
      <w:r>
        <w:rPr>
          <w:rFonts w:hint="eastAsia" w:ascii="宋体" w:hAnsi="宋体" w:eastAsia="宋体" w:cs="宋体"/>
          <w:kern w:val="2"/>
          <w:sz w:val="21"/>
          <w:szCs w:val="21"/>
          <w:lang w:val="en-US" w:eastAsia="zh-CN" w:bidi="ar-SA"/>
        </w:rPr>
        <w:t>《叉车检验项目及其内容、方法和要求》。</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17AA8"/>
    <w:multiLevelType w:val="multilevel"/>
    <w:tmpl w:val="57B17AA8"/>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2NiOWQyODZhYzg4ZjA5YmY0OTEzN2ZlNDhhZjEifQ=="/>
  </w:docVars>
  <w:rsids>
    <w:rsidRoot w:val="00954886"/>
    <w:rsid w:val="0004453C"/>
    <w:rsid w:val="000A2429"/>
    <w:rsid w:val="000C7D44"/>
    <w:rsid w:val="000E0B06"/>
    <w:rsid w:val="00120B54"/>
    <w:rsid w:val="00132DD9"/>
    <w:rsid w:val="001A6151"/>
    <w:rsid w:val="001C6F70"/>
    <w:rsid w:val="00322FC9"/>
    <w:rsid w:val="00433DE5"/>
    <w:rsid w:val="00436D81"/>
    <w:rsid w:val="00454FF0"/>
    <w:rsid w:val="00455673"/>
    <w:rsid w:val="004948FC"/>
    <w:rsid w:val="00503993"/>
    <w:rsid w:val="00507CA7"/>
    <w:rsid w:val="00533024"/>
    <w:rsid w:val="00592FDF"/>
    <w:rsid w:val="005A3861"/>
    <w:rsid w:val="005A5D15"/>
    <w:rsid w:val="005D63E7"/>
    <w:rsid w:val="006600E3"/>
    <w:rsid w:val="00685E9F"/>
    <w:rsid w:val="006A7676"/>
    <w:rsid w:val="006C55DD"/>
    <w:rsid w:val="006F42F3"/>
    <w:rsid w:val="00723BC2"/>
    <w:rsid w:val="00790E6B"/>
    <w:rsid w:val="007A1648"/>
    <w:rsid w:val="007C3919"/>
    <w:rsid w:val="008024B9"/>
    <w:rsid w:val="00812E77"/>
    <w:rsid w:val="008252F3"/>
    <w:rsid w:val="008B2A74"/>
    <w:rsid w:val="008C38F9"/>
    <w:rsid w:val="00936CC2"/>
    <w:rsid w:val="00954886"/>
    <w:rsid w:val="0099269D"/>
    <w:rsid w:val="009A1B87"/>
    <w:rsid w:val="009D5D77"/>
    <w:rsid w:val="009F2E47"/>
    <w:rsid w:val="00A044BC"/>
    <w:rsid w:val="00AB11FA"/>
    <w:rsid w:val="00AB339B"/>
    <w:rsid w:val="00AD4A29"/>
    <w:rsid w:val="00CA16D2"/>
    <w:rsid w:val="00D51D16"/>
    <w:rsid w:val="00D81409"/>
    <w:rsid w:val="00E11B74"/>
    <w:rsid w:val="00E3006A"/>
    <w:rsid w:val="00EE5AC9"/>
    <w:rsid w:val="00F205ED"/>
    <w:rsid w:val="00F42723"/>
    <w:rsid w:val="00F667CC"/>
    <w:rsid w:val="00F72273"/>
    <w:rsid w:val="00F75829"/>
    <w:rsid w:val="00F90B88"/>
    <w:rsid w:val="0136557F"/>
    <w:rsid w:val="077C4041"/>
    <w:rsid w:val="08FF094D"/>
    <w:rsid w:val="0A5D1DCF"/>
    <w:rsid w:val="0D015E27"/>
    <w:rsid w:val="0E5A03D3"/>
    <w:rsid w:val="1496451C"/>
    <w:rsid w:val="19D831D6"/>
    <w:rsid w:val="1CF47D55"/>
    <w:rsid w:val="1FE672C4"/>
    <w:rsid w:val="208516A0"/>
    <w:rsid w:val="21A47E8B"/>
    <w:rsid w:val="21C6452F"/>
    <w:rsid w:val="245031A6"/>
    <w:rsid w:val="25A317C7"/>
    <w:rsid w:val="26AD236F"/>
    <w:rsid w:val="277868EE"/>
    <w:rsid w:val="305F6E3B"/>
    <w:rsid w:val="315C5AB4"/>
    <w:rsid w:val="351A3C4E"/>
    <w:rsid w:val="357C6CFE"/>
    <w:rsid w:val="36F9793E"/>
    <w:rsid w:val="37E2468C"/>
    <w:rsid w:val="3D200CEB"/>
    <w:rsid w:val="3DC27856"/>
    <w:rsid w:val="3E30060A"/>
    <w:rsid w:val="44555869"/>
    <w:rsid w:val="46857AB3"/>
    <w:rsid w:val="4C87549D"/>
    <w:rsid w:val="553700F3"/>
    <w:rsid w:val="58711EB7"/>
    <w:rsid w:val="58831FCD"/>
    <w:rsid w:val="58DC1BAB"/>
    <w:rsid w:val="5A130C2C"/>
    <w:rsid w:val="5BC44825"/>
    <w:rsid w:val="5D760254"/>
    <w:rsid w:val="5E9071F2"/>
    <w:rsid w:val="5F5B2128"/>
    <w:rsid w:val="605B55DE"/>
    <w:rsid w:val="61371BA7"/>
    <w:rsid w:val="66C043ED"/>
    <w:rsid w:val="696809E8"/>
    <w:rsid w:val="6C290E61"/>
    <w:rsid w:val="6E497F7D"/>
    <w:rsid w:val="73D433E7"/>
    <w:rsid w:val="7C6B0EEA"/>
    <w:rsid w:val="7DBE0AD5"/>
    <w:rsid w:val="7DEC38C1"/>
    <w:rsid w:val="7F6D37E3"/>
    <w:rsid w:val="DB7F2C35"/>
    <w:rsid w:val="DCF9B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3"/>
    <w:next w:val="1"/>
    <w:link w:val="14"/>
    <w:qFormat/>
    <w:uiPriority w:val="9"/>
    <w:pPr>
      <w:spacing w:before="340" w:after="330"/>
      <w:ind w:firstLine="3520" w:firstLineChars="800"/>
    </w:pPr>
    <w:rPr>
      <w:rFonts w:eastAsia="方正小标宋简体"/>
      <w:b w:val="0"/>
      <w:bCs w:val="0"/>
      <w:kern w:val="0"/>
      <w:sz w:val="44"/>
      <w:szCs w:val="44"/>
    </w:rPr>
  </w:style>
  <w:style w:type="paragraph" w:styleId="4">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next w:val="1"/>
    <w:link w:val="16"/>
    <w:qFormat/>
    <w:uiPriority w:val="10"/>
    <w:pPr>
      <w:spacing w:before="240" w:after="60"/>
      <w:jc w:val="center"/>
      <w:outlineLvl w:val="0"/>
    </w:pPr>
    <w:rPr>
      <w:rFonts w:asciiTheme="majorHAnsi" w:hAnsiTheme="majorHAnsi" w:cstheme="majorBidi"/>
      <w:b/>
      <w:bCs/>
      <w:szCs w:val="32"/>
    </w:rPr>
  </w:style>
  <w:style w:type="paragraph" w:styleId="5">
    <w:name w:val="Balloon Text"/>
    <w:basedOn w:val="1"/>
    <w:link w:val="23"/>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2"/>
    <w:next w:val="4"/>
    <w:link w:val="17"/>
    <w:qFormat/>
    <w:uiPriority w:val="11"/>
    <w:pPr>
      <w:spacing w:before="0" w:after="0" w:line="560" w:lineRule="exact"/>
      <w:ind w:firstLine="200" w:firstLineChars="200"/>
      <w:jc w:val="left"/>
      <w:outlineLvl w:val="1"/>
    </w:pPr>
    <w:rPr>
      <w:rFonts w:eastAsia="黑体"/>
      <w:bCs/>
      <w:color w:val="000000" w:themeColor="text1"/>
      <w:szCs w:val="32"/>
      <w14:textFill>
        <w14:solidFill>
          <w14:schemeClr w14:val="tx1"/>
        </w14:solidFill>
      </w14:textFill>
    </w:rPr>
  </w:style>
  <w:style w:type="paragraph" w:styleId="9">
    <w:name w:val="Body Text Indent 3"/>
    <w:basedOn w:val="1"/>
    <w:link w:val="21"/>
    <w:unhideWhenUsed/>
    <w:qFormat/>
    <w:uiPriority w:val="0"/>
    <w:pPr>
      <w:spacing w:line="360" w:lineRule="atLeast"/>
      <w:ind w:firstLine="480" w:firstLineChars="200"/>
      <w:jc w:val="left"/>
    </w:pPr>
    <w:rPr>
      <w:rFonts w:ascii="仿宋_GB2312" w:hAnsi="Times New Roman" w:eastAsia="仿宋_GB2312"/>
      <w:sz w:val="24"/>
      <w:szCs w:val="20"/>
    </w:rPr>
  </w:style>
  <w:style w:type="paragraph" w:styleId="10">
    <w:name w:val="Body Text 2"/>
    <w:basedOn w:val="1"/>
    <w:qFormat/>
    <w:uiPriority w:val="0"/>
    <w:pPr>
      <w:spacing w:line="360" w:lineRule="auto"/>
    </w:pPr>
    <w:rPr>
      <w:sz w:val="24"/>
    </w:rPr>
  </w:style>
  <w:style w:type="paragraph" w:styleId="11">
    <w:name w:val="Normal (Web)"/>
    <w:basedOn w:val="1"/>
    <w:qFormat/>
    <w:uiPriority w:val="0"/>
    <w:rPr>
      <w:sz w:val="24"/>
    </w:rPr>
  </w:style>
  <w:style w:type="character" w:customStyle="1" w:styleId="14">
    <w:name w:val="标题 1 字符"/>
    <w:basedOn w:val="13"/>
    <w:link w:val="2"/>
    <w:qFormat/>
    <w:uiPriority w:val="9"/>
    <w:rPr>
      <w:color w:val="auto"/>
      <w:kern w:val="0"/>
    </w:rPr>
  </w:style>
  <w:style w:type="character" w:customStyle="1" w:styleId="15">
    <w:name w:val="标题 2 字符"/>
    <w:basedOn w:val="13"/>
    <w:link w:val="4"/>
    <w:semiHidden/>
    <w:qFormat/>
    <w:uiPriority w:val="9"/>
    <w:rPr>
      <w:rFonts w:asciiTheme="majorHAnsi" w:hAnsiTheme="majorHAnsi" w:eastAsiaTheme="majorEastAsia" w:cstheme="majorBidi"/>
      <w:b/>
      <w:bCs/>
      <w:sz w:val="32"/>
      <w:szCs w:val="32"/>
    </w:rPr>
  </w:style>
  <w:style w:type="character" w:customStyle="1" w:styleId="16">
    <w:name w:val="标题 字符"/>
    <w:basedOn w:val="13"/>
    <w:link w:val="3"/>
    <w:qFormat/>
    <w:uiPriority w:val="10"/>
    <w:rPr>
      <w:rFonts w:eastAsia="宋体" w:asciiTheme="majorHAnsi" w:hAnsiTheme="majorHAnsi" w:cstheme="majorBidi"/>
      <w:b/>
      <w:bCs/>
      <w:szCs w:val="32"/>
    </w:rPr>
  </w:style>
  <w:style w:type="character" w:customStyle="1" w:styleId="17">
    <w:name w:val="副标题 字符"/>
    <w:basedOn w:val="13"/>
    <w:link w:val="8"/>
    <w:qFormat/>
    <w:uiPriority w:val="11"/>
    <w:rPr>
      <w:rFonts w:eastAsia="黑体" w:asciiTheme="majorHAnsi" w:hAnsiTheme="majorHAnsi" w:cstheme="majorBidi"/>
      <w:bCs/>
      <w:color w:val="000000" w:themeColor="text1"/>
      <w:kern w:val="0"/>
      <w:szCs w:val="32"/>
      <w14:textFill>
        <w14:solidFill>
          <w14:schemeClr w14:val="tx1"/>
        </w14:solidFill>
      </w14:textFill>
    </w:rPr>
  </w:style>
  <w:style w:type="paragraph" w:customStyle="1" w:styleId="18">
    <w:name w:val="二级标题"/>
    <w:basedOn w:val="4"/>
    <w:next w:val="1"/>
    <w:qFormat/>
    <w:uiPriority w:val="0"/>
    <w:pPr>
      <w:spacing w:before="0" w:after="0" w:line="560" w:lineRule="exact"/>
    </w:pPr>
    <w:rPr>
      <w:rFonts w:eastAsia="楷体_GB2312"/>
      <w:b w:val="0"/>
    </w:rPr>
  </w:style>
  <w:style w:type="character" w:customStyle="1" w:styleId="19">
    <w:name w:val="页眉 字符"/>
    <w:basedOn w:val="13"/>
    <w:link w:val="7"/>
    <w:qFormat/>
    <w:uiPriority w:val="99"/>
    <w:rPr>
      <w:rFonts w:ascii="仿宋" w:hAnsi="仿宋" w:eastAsia="仿宋_GB2312" w:cstheme="minorBidi"/>
      <w:color w:val="auto"/>
      <w:kern w:val="2"/>
      <w:sz w:val="18"/>
      <w:szCs w:val="18"/>
    </w:rPr>
  </w:style>
  <w:style w:type="character" w:customStyle="1" w:styleId="20">
    <w:name w:val="页脚 字符"/>
    <w:basedOn w:val="13"/>
    <w:link w:val="6"/>
    <w:qFormat/>
    <w:uiPriority w:val="99"/>
    <w:rPr>
      <w:rFonts w:ascii="仿宋" w:hAnsi="仿宋" w:eastAsia="仿宋_GB2312" w:cstheme="minorBidi"/>
      <w:color w:val="auto"/>
      <w:kern w:val="2"/>
      <w:sz w:val="18"/>
      <w:szCs w:val="18"/>
    </w:rPr>
  </w:style>
  <w:style w:type="character" w:customStyle="1" w:styleId="21">
    <w:name w:val="正文文本缩进 3 字符"/>
    <w:basedOn w:val="13"/>
    <w:link w:val="9"/>
    <w:qFormat/>
    <w:uiPriority w:val="0"/>
    <w:rPr>
      <w:rFonts w:ascii="仿宋_GB2312" w:hAnsi="Times New Roman" w:eastAsia="仿宋_GB2312" w:cs="Times New Roman"/>
      <w:color w:val="auto"/>
      <w:kern w:val="2"/>
      <w:sz w:val="24"/>
      <w:szCs w:val="20"/>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批注框文本 字符"/>
    <w:basedOn w:val="13"/>
    <w:link w:val="5"/>
    <w:semiHidden/>
    <w:qFormat/>
    <w:uiPriority w:val="99"/>
    <w:rPr>
      <w:rFonts w:ascii="宋体" w:hAnsi="宋体" w:eastAsia="宋体" w:cs="Times New Roman"/>
      <w:color w:val="auto"/>
      <w:kern w:val="2"/>
      <w:sz w:val="18"/>
      <w:szCs w:val="18"/>
    </w:rPr>
  </w:style>
  <w:style w:type="paragraph" w:styleId="24">
    <w:name w:val="List Paragraph"/>
    <w:basedOn w:val="1"/>
    <w:qFormat/>
    <w:uiPriority w:val="34"/>
    <w:pPr>
      <w:ind w:firstLine="420" w:firstLineChars="200"/>
    </w:pPr>
  </w:style>
  <w:style w:type="paragraph" w:customStyle="1" w:styleId="25">
    <w:name w:val="Other|1"/>
    <w:basedOn w:val="1"/>
    <w:qFormat/>
    <w:uiPriority w:val="0"/>
    <w:pPr>
      <w:spacing w:line="388" w:lineRule="auto"/>
      <w:ind w:firstLine="400"/>
      <w:jc w:val="left"/>
    </w:pPr>
    <w:rPr>
      <w:rFonts w:ascii="宋体" w:hAnsi="宋体" w:cs="宋体"/>
      <w:color w:val="000000"/>
    </w:rPr>
  </w:style>
  <w:style w:type="paragraph" w:customStyle="1" w:styleId="26">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2172</Words>
  <Characters>2335</Characters>
  <Lines>57</Lines>
  <Paragraphs>16</Paragraphs>
  <TotalTime>1</TotalTime>
  <ScaleCrop>false</ScaleCrop>
  <LinksUpToDate>false</LinksUpToDate>
  <CharactersWithSpaces>2361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2021-08-02T16:51:00Z</dcterms:created>
  <dc:creator>徐振</dc:creator>
  <cp:lastModifiedBy>zhuzg</cp:lastModifiedBy>
  <cp:lastPrinted>2023-06-29T14:41:00Z</cp:lastPrinted>
  <dcterms:modified xsi:type="dcterms:W3CDTF">2025-07-23T02:25:59Z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B7986BF356D54752972BEBB089B2028D_13</vt:lpwstr>
  </property>
  <property fmtid="{D5CDD505-2E9C-101B-9397-08002B2CF9AE}" pid="4" name="KSOTemplateDocerSaveRecord">
    <vt:lpwstr>eyJoZGlkIjoiYzQ0NjJlOWE4MzVjMDgyNGFkNGI3OWQ2NTFjNDBmNjAiLCJ1c2VySWQiOiI0MzAyMzc3NDYifQ==</vt:lpwstr>
  </property>
</Properties>
</file>