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国家级标准验证检验检测点项目申报指南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highlight w:val="none"/>
          <w:lang w:val="en-US" w:eastAsia="zh-CN"/>
        </w:rPr>
      </w:pPr>
      <w:r>
        <w:rPr>
          <w:rFonts w:hint="eastAsia" w:ascii="仿宋_GB2312" w:hAnsi="宋体" w:eastAsia="黑体"/>
          <w:bCs/>
          <w:kern w:val="44"/>
          <w:sz w:val="32"/>
          <w:szCs w:val="44"/>
          <w:highlight w:val="none"/>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pStyle w:val="2"/>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highlight w:val="none"/>
          <w:lang w:val="en-US" w:eastAsia="zh-CN"/>
        </w:rPr>
        <w:t>二、项目</w:t>
      </w:r>
      <w:r>
        <w:rPr>
          <w:rFonts w:hint="eastAsia" w:ascii="仿宋_GB2312" w:hAnsi="宋体" w:eastAsia="黑体"/>
          <w:bCs/>
          <w:kern w:val="44"/>
          <w:sz w:val="32"/>
          <w:szCs w:val="44"/>
          <w:highlight w:val="none"/>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支持标准化服务机构发展。鼓励辖区标准化服务机构积极参与国家级标准验证工作,提高标准化服务水平。对获得深圳市国家级标准验证检验检测点项目资助的单位,按其获得市级资助金额的 50%给予配套资助,单个项目最高 10 万元。（《若干措施》第二条第八项）</w:t>
      </w:r>
    </w:p>
    <w:p>
      <w:pPr>
        <w:pStyle w:val="2"/>
        <w:ind w:left="0" w:leftChars="0" w:firstLine="640" w:firstLineChars="200"/>
        <w:rPr>
          <w:rFonts w:ascii="仿宋_GB2312" w:hAnsi="宋体" w:eastAsia="黑体"/>
          <w:bCs/>
          <w:kern w:val="44"/>
          <w:sz w:val="32"/>
          <w:szCs w:val="44"/>
          <w:highlight w:val="none"/>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三</w:t>
      </w:r>
      <w:r>
        <w:rPr>
          <w:rFonts w:ascii="仿宋_GB2312" w:hAnsi="宋体" w:eastAsia="黑体"/>
          <w:bCs/>
          <w:kern w:val="44"/>
          <w:sz w:val="32"/>
          <w:szCs w:val="44"/>
          <w:highlight w:val="none"/>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color w:val="000000"/>
          <w:sz w:val="32"/>
          <w:szCs w:val="32"/>
          <w:highlight w:val="none"/>
          <w:lang w:eastAsia="zh-CN"/>
        </w:rPr>
      </w:pP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获得深圳市国家级标准验证检验检测点项目资助</w:t>
      </w:r>
      <w:r>
        <w:rPr>
          <w:rFonts w:hint="eastAsia" w:ascii="仿宋_GB2312" w:hAnsi="楷体_GB2312" w:eastAsia="仿宋_GB2312" w:cs="楷体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四</w:t>
      </w:r>
      <w:r>
        <w:rPr>
          <w:rFonts w:ascii="仿宋_GB2312" w:hAnsi="宋体" w:eastAsia="黑体"/>
          <w:bCs/>
          <w:kern w:val="44"/>
          <w:sz w:val="32"/>
          <w:szCs w:val="44"/>
          <w:highlight w:val="none"/>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申报材料由</w:t>
      </w:r>
      <w:r>
        <w:rPr>
          <w:rFonts w:hint="eastAsia" w:ascii="仿宋_GB2312" w:hAnsi="楷体_GB2312" w:eastAsia="仿宋_GB2312" w:cs="楷体_GB2312"/>
          <w:b/>
          <w:bCs/>
          <w:sz w:val="32"/>
          <w:szCs w:val="32"/>
          <w:highlight w:val="none"/>
        </w:rPr>
        <w:t>基础申报材料</w:t>
      </w:r>
      <w:r>
        <w:rPr>
          <w:rFonts w:hint="eastAsia" w:ascii="仿宋_GB2312" w:hAnsi="楷体_GB2312" w:eastAsia="仿宋_GB2312" w:cs="楷体_GB2312"/>
          <w:sz w:val="32"/>
          <w:szCs w:val="32"/>
          <w:highlight w:val="none"/>
        </w:rPr>
        <w:t>和</w:t>
      </w:r>
      <w:r>
        <w:rPr>
          <w:rFonts w:hint="eastAsia" w:ascii="仿宋_GB2312" w:hAnsi="楷体_GB2312" w:eastAsia="仿宋_GB2312" w:cs="楷体_GB2312"/>
          <w:b/>
          <w:bCs/>
          <w:sz w:val="32"/>
          <w:szCs w:val="32"/>
          <w:highlight w:val="none"/>
        </w:rPr>
        <w:t>专项申报材料</w:t>
      </w:r>
      <w:r>
        <w:rPr>
          <w:rFonts w:hint="eastAsia" w:ascii="仿宋_GB2312" w:hAnsi="楷体_GB2312" w:eastAsia="仿宋_GB2312" w:cs="楷体_GB2312"/>
          <w:sz w:val="32"/>
          <w:szCs w:val="32"/>
          <w:highlight w:val="none"/>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highlight w:val="none"/>
        </w:rPr>
      </w:pPr>
      <w:r>
        <w:rPr>
          <w:rFonts w:hint="eastAsia" w:ascii="仿宋_GB2312" w:hAnsi="楷体_GB2312" w:eastAsia="仿宋_GB2312" w:cs="楷体_GB2312"/>
          <w:b/>
          <w:bCs/>
          <w:sz w:val="32"/>
          <w:szCs w:val="32"/>
          <w:highlight w:val="none"/>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在线填报申请书，网址：https://cqt.szfb.sz.gov.cn/#/home</w:t>
      </w:r>
      <w:r>
        <w:rPr>
          <w:rFonts w:hint="eastAsia" w:ascii="仿宋_GB2312" w:hAnsi="楷体_GB2312" w:eastAsia="仿宋_GB2312" w:cs="楷体_GB2312"/>
          <w:sz w:val="32"/>
          <w:szCs w:val="32"/>
          <w:highlight w:val="none"/>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highlight w:val="none"/>
        </w:rPr>
        <w:t>提交通过线上初审后，从该系统导出带水印的申请</w:t>
      </w:r>
      <w:r>
        <w:rPr>
          <w:rFonts w:hint="eastAsia" w:ascii="仿宋_GB2312" w:hAnsi="楷体_GB2312" w:eastAsia="仿宋_GB2312" w:cs="楷体_GB2312"/>
          <w:sz w:val="32"/>
          <w:szCs w:val="32"/>
          <w:highlight w:val="none"/>
        </w:rPr>
        <w:t>表及</w:t>
      </w:r>
      <w:r>
        <w:rPr>
          <w:rFonts w:hint="eastAsia" w:ascii="仿宋_GB2312" w:hAnsi="楷体_GB2312" w:eastAsia="仿宋_GB2312" w:cs="楷体_GB2312"/>
          <w:sz w:val="32"/>
          <w:szCs w:val="32"/>
          <w:highlight w:val="none"/>
          <w:lang w:eastAsia="zh-CN"/>
        </w:rPr>
        <w:t>申请</w:t>
      </w:r>
      <w:r>
        <w:rPr>
          <w:rFonts w:hint="eastAsia" w:ascii="仿宋_GB2312" w:hAnsi="楷体_GB2312" w:eastAsia="仿宋_GB2312" w:cs="楷体_GB2312"/>
          <w:sz w:val="32"/>
          <w:szCs w:val="32"/>
          <w:highlight w:val="none"/>
        </w:rPr>
        <w:t>材料。</w:t>
      </w:r>
      <w:r>
        <w:rPr>
          <w:rFonts w:ascii="仿宋_GB2312" w:hAnsi="楷体_GB2312" w:eastAsia="仿宋_GB2312" w:cs="楷体_GB2312"/>
          <w:sz w:val="32"/>
          <w:szCs w:val="32"/>
          <w:highlight w:val="none"/>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highlight w:val="none"/>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highlight w:val="none"/>
        </w:rPr>
      </w:pPr>
      <w:r>
        <w:rPr>
          <w:rFonts w:hint="eastAsia" w:ascii="仿宋_GB2312" w:hAnsi="楷体_GB2312" w:eastAsia="仿宋_GB2312" w:cs="楷体_GB2312"/>
          <w:b/>
          <w:bCs/>
          <w:sz w:val="32"/>
          <w:szCs w:val="32"/>
          <w:highlight w:val="none"/>
        </w:rPr>
        <w:t>专项申报材料：</w:t>
      </w:r>
    </w:p>
    <w:p>
      <w:pPr>
        <w:widowControl/>
        <w:spacing w:line="560" w:lineRule="exact"/>
        <w:ind w:firstLine="616" w:firstLineChars="200"/>
        <w:jc w:val="left"/>
        <w:outlineLvl w:val="0"/>
        <w:rPr>
          <w:rFonts w:hint="eastAsia" w:eastAsia="仿宋_GB2312"/>
          <w:b w:val="0"/>
          <w:bCs w:val="0"/>
          <w:sz w:val="32"/>
          <w:szCs w:val="32"/>
          <w:highlight w:val="none"/>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eastAsia="仿宋_GB2312"/>
          <w:b w:val="0"/>
          <w:bCs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五</w:t>
      </w:r>
      <w:r>
        <w:rPr>
          <w:rFonts w:hint="eastAsia" w:ascii="仿宋_GB2312" w:hAnsi="宋体" w:eastAsia="黑体"/>
          <w:bCs/>
          <w:kern w:val="44"/>
          <w:sz w:val="32"/>
          <w:szCs w:val="44"/>
          <w:highlight w:val="none"/>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highlight w:val="none"/>
        </w:rPr>
      </w:pPr>
      <w:r>
        <w:rPr>
          <w:rFonts w:hint="eastAsia" w:ascii="仿宋_GB2312" w:hAnsi="Calibri" w:eastAsia="仿宋_GB2312"/>
          <w:sz w:val="32"/>
          <w:szCs w:val="32"/>
          <w:highlight w:val="none"/>
        </w:rPr>
        <w:t>申请单位网上申报--网上申报通过后申请单位提交</w:t>
      </w:r>
      <w:r>
        <w:rPr>
          <w:rFonts w:hint="eastAsia" w:ascii="仿宋_GB2312" w:hAnsi="Calibri" w:eastAsia="仿宋_GB2312"/>
          <w:sz w:val="32"/>
          <w:szCs w:val="32"/>
          <w:highlight w:val="none"/>
          <w:lang w:eastAsia="zh-CN"/>
        </w:rPr>
        <w:t>纸质</w:t>
      </w:r>
      <w:r>
        <w:rPr>
          <w:rFonts w:hint="eastAsia" w:ascii="仿宋_GB2312" w:hAnsi="Calibri" w:eastAsia="仿宋_GB2312"/>
          <w:sz w:val="32"/>
          <w:szCs w:val="32"/>
          <w:highlight w:val="none"/>
        </w:rPr>
        <w:t>材料--形式审查、技术审查--根据需要组织实地核查、专家评审并会同相关部门核查并形成资金扶持方案--</w:t>
      </w:r>
      <w:r>
        <w:rPr>
          <w:rFonts w:hint="eastAsia" w:ascii="仿宋_GB2312" w:hAnsi="Calibri" w:eastAsia="仿宋_GB2312"/>
          <w:sz w:val="32"/>
          <w:szCs w:val="32"/>
          <w:highlight w:val="none"/>
          <w:lang w:eastAsia="zh-CN"/>
        </w:rPr>
        <w:t>按程序</w:t>
      </w:r>
      <w:r>
        <w:rPr>
          <w:rFonts w:hint="eastAsia" w:ascii="仿宋_GB2312" w:hAnsi="Calibri" w:eastAsia="仿宋_GB2312"/>
          <w:sz w:val="32"/>
          <w:szCs w:val="32"/>
          <w:highlight w:val="none"/>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六</w:t>
      </w:r>
      <w:r>
        <w:rPr>
          <w:rFonts w:hint="eastAsia" w:ascii="仿宋_GB2312" w:hAnsi="宋体" w:eastAsia="黑体"/>
          <w:bCs/>
          <w:kern w:val="44"/>
          <w:sz w:val="32"/>
          <w:szCs w:val="44"/>
          <w:highlight w:val="none"/>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七</w:t>
      </w:r>
      <w:r>
        <w:rPr>
          <w:rFonts w:hint="eastAsia" w:ascii="仿宋_GB2312" w:hAnsi="宋体" w:eastAsia="黑体"/>
          <w:bCs/>
          <w:kern w:val="44"/>
          <w:sz w:val="32"/>
          <w:szCs w:val="44"/>
          <w:highlight w:val="none"/>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无。</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八</w:t>
      </w:r>
      <w:r>
        <w:rPr>
          <w:rFonts w:hint="eastAsia" w:ascii="仿宋_GB2312" w:hAnsi="宋体" w:eastAsia="黑体"/>
          <w:bCs/>
          <w:kern w:val="44"/>
          <w:sz w:val="32"/>
          <w:szCs w:val="44"/>
          <w:highlight w:val="none"/>
        </w:rPr>
        <w:t>、年审或年检</w:t>
      </w:r>
    </w:p>
    <w:p>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highlight w:val="none"/>
        </w:rPr>
      </w:pPr>
      <w:r>
        <w:rPr>
          <w:rFonts w:hint="eastAsia" w:ascii="仿宋_GB2312" w:hAnsi="宋体" w:eastAsia="黑体"/>
          <w:bCs/>
          <w:kern w:val="44"/>
          <w:sz w:val="32"/>
          <w:szCs w:val="44"/>
          <w:highlight w:val="none"/>
          <w:lang w:val="en-US" w:eastAsia="zh-CN"/>
        </w:rPr>
        <w:t>九</w:t>
      </w:r>
      <w:r>
        <w:rPr>
          <w:rFonts w:hint="eastAsia" w:ascii="仿宋_GB2312" w:hAnsi="宋体" w:eastAsia="黑体"/>
          <w:bCs/>
          <w:kern w:val="44"/>
          <w:sz w:val="32"/>
          <w:szCs w:val="44"/>
          <w:highlight w:val="none"/>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480" w:firstLineChars="15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（四）资</w:t>
      </w:r>
      <w:r>
        <w:rPr>
          <w:rFonts w:hint="eastAsia" w:ascii="仿宋_GB2312" w:hAnsi="Calibri" w:eastAsia="仿宋_GB2312" w:cs="Times New Roman"/>
          <w:b w:val="0"/>
          <w:kern w:val="2"/>
          <w:sz w:val="32"/>
          <w:szCs w:val="32"/>
          <w:highlight w:val="none"/>
          <w:lang w:val="en-US" w:eastAsia="zh-CN" w:bidi="ar-SA"/>
        </w:rPr>
        <w:t>助金额受财政下达年度资金预算总额控制，我局将视申报情况对奖励金额和拨付进度等进行统一调整，申报单位应无条件同意调整结果。</w:t>
      </w:r>
    </w:p>
    <w:p>
      <w:pPr>
        <w:pStyle w:val="2"/>
        <w:rPr>
          <w:rFonts w:hint="default"/>
          <w:highlight w:val="none"/>
          <w:lang w:val="en-US"/>
        </w:rPr>
      </w:pPr>
      <w:bookmarkStart w:id="0" w:name="_GoBack"/>
      <w:bookmarkEnd w:id="0"/>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A9E1359"/>
    <w:rsid w:val="1BAD1FB6"/>
    <w:rsid w:val="1BC923DA"/>
    <w:rsid w:val="1BE44C1C"/>
    <w:rsid w:val="1C0E2F29"/>
    <w:rsid w:val="1D185152"/>
    <w:rsid w:val="1D7338BD"/>
    <w:rsid w:val="1DECC218"/>
    <w:rsid w:val="1E1B192D"/>
    <w:rsid w:val="1E366767"/>
    <w:rsid w:val="1E604B3F"/>
    <w:rsid w:val="1F0472EE"/>
    <w:rsid w:val="1FDE6F42"/>
    <w:rsid w:val="21326193"/>
    <w:rsid w:val="228914BF"/>
    <w:rsid w:val="232C6AF6"/>
    <w:rsid w:val="236F1C12"/>
    <w:rsid w:val="25C150D2"/>
    <w:rsid w:val="2623574F"/>
    <w:rsid w:val="27E2526A"/>
    <w:rsid w:val="286612F3"/>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57DFE84"/>
    <w:rsid w:val="365B70E1"/>
    <w:rsid w:val="370229E4"/>
    <w:rsid w:val="372003E5"/>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7FFEF1C"/>
    <w:rsid w:val="78B20816"/>
    <w:rsid w:val="791F62B5"/>
    <w:rsid w:val="7991214A"/>
    <w:rsid w:val="79C1030D"/>
    <w:rsid w:val="7A3E2CEF"/>
    <w:rsid w:val="7E634C51"/>
    <w:rsid w:val="7F565502"/>
    <w:rsid w:val="7F6D6098"/>
    <w:rsid w:val="7F776E24"/>
    <w:rsid w:val="7FF833F1"/>
    <w:rsid w:val="BCD58506"/>
    <w:rsid w:val="DBED4D0F"/>
    <w:rsid w:val="F9EBE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1</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2021-05-24T16:16:00Z</dcterms:created>
  <dc:creator>740095076@qq.com</dc:creator>
  <cp:lastModifiedBy>caiss1</cp:lastModifiedBy>
  <cp:lastPrinted>2022-10-11T09:54:00Z</cp:lastPrinted>
  <dcterms:modified xsi:type="dcterms:W3CDTF">2025-07-21T17:42:00Z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A56BBDAE862E498C926ACDA978A77653</vt:lpwstr>
  </property>
</Properties>
</file>