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年民生实事备选项目申报表</w:t>
      </w:r>
    </w:p>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填报单位：深圳市市场监督管理局   </w:t>
      </w:r>
    </w:p>
    <w:tbl>
      <w:tblPr>
        <w:tblStyle w:val="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723"/>
        <w:gridCol w:w="2076"/>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26"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2723" w:type="dxa"/>
            <w:noWrap w:val="0"/>
            <w:vAlign w:val="center"/>
          </w:tcPr>
          <w:p>
            <w:pPr>
              <w:jc w:val="center"/>
              <w:rPr>
                <w:rFonts w:hint="eastAsia" w:eastAsia="仿宋_GB2312"/>
                <w:b/>
                <w:bCs/>
                <w:sz w:val="24"/>
                <w:szCs w:val="24"/>
                <w:lang w:eastAsia="zh-CN"/>
              </w:rPr>
            </w:pPr>
            <w:r>
              <w:rPr>
                <w:rFonts w:hint="eastAsia" w:ascii="仿宋_GB2312" w:hAnsi="仿宋_GB2312" w:eastAsia="仿宋_GB2312" w:cs="仿宋_GB2312"/>
                <w:sz w:val="24"/>
                <w:szCs w:val="24"/>
                <w:lang w:eastAsia="zh-CN"/>
              </w:rPr>
              <w:t>营造放心消费环境</w:t>
            </w:r>
          </w:p>
        </w:tc>
        <w:tc>
          <w:tcPr>
            <w:tcW w:w="2076" w:type="dxa"/>
            <w:noWrap w:val="0"/>
            <w:vAlign w:val="center"/>
          </w:tcPr>
          <w:p>
            <w:pPr>
              <w:jc w:val="center"/>
              <w:rPr>
                <w:rFonts w:hint="eastAsia"/>
                <w:b/>
                <w:bCs/>
                <w:sz w:val="24"/>
                <w:szCs w:val="24"/>
              </w:rPr>
            </w:pPr>
            <w:r>
              <w:rPr>
                <w:rFonts w:hint="eastAsia" w:ascii="仿宋_GB2312" w:hAnsi="仿宋_GB2312" w:eastAsia="仿宋_GB2312" w:cs="仿宋_GB2312"/>
                <w:b/>
                <w:bCs/>
                <w:sz w:val="24"/>
                <w:szCs w:val="24"/>
              </w:rPr>
              <w:t>分管市领导</w:t>
            </w:r>
          </w:p>
        </w:tc>
        <w:tc>
          <w:tcPr>
            <w:tcW w:w="2294" w:type="dxa"/>
            <w:noWrap w:val="0"/>
            <w:vAlign w:val="center"/>
          </w:tcPr>
          <w:p>
            <w:pPr>
              <w:jc w:val="center"/>
              <w:rPr>
                <w:rFonts w:hint="eastAsia" w:eastAsia="宋体"/>
                <w:b/>
                <w:bCs/>
                <w:sz w:val="24"/>
                <w:szCs w:val="24"/>
                <w:lang w:eastAsia="zh-CN"/>
              </w:rPr>
            </w:pPr>
            <w:r>
              <w:rPr>
                <w:rFonts w:hint="eastAsia" w:ascii="仿宋_GB2312" w:hAnsi="仿宋_GB2312" w:eastAsia="仿宋_GB2312" w:cs="仿宋_GB2312"/>
                <w:sz w:val="24"/>
                <w:szCs w:val="24"/>
                <w:lang w:eastAsia="zh-CN"/>
              </w:rPr>
              <w:t>代金涛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26"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责任单位</w:t>
            </w:r>
          </w:p>
        </w:tc>
        <w:tc>
          <w:tcPr>
            <w:tcW w:w="7093" w:type="dxa"/>
            <w:gridSpan w:val="3"/>
            <w:noWrap w:val="0"/>
            <w:vAlign w:val="center"/>
          </w:tcPr>
          <w:p>
            <w:pPr>
              <w:jc w:val="center"/>
              <w:rPr>
                <w:b/>
                <w:bCs/>
                <w:sz w:val="24"/>
                <w:szCs w:val="24"/>
              </w:rPr>
            </w:pPr>
            <w:r>
              <w:rPr>
                <w:rFonts w:hint="eastAsia" w:ascii="仿宋_GB2312" w:hAnsi="仿宋_GB2312" w:eastAsia="仿宋_GB2312" w:cs="仿宋_GB2312"/>
                <w:sz w:val="24"/>
                <w:szCs w:val="24"/>
              </w:rPr>
              <w:t>深圳市市场监督管理局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426"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项目内容</w:t>
            </w:r>
          </w:p>
        </w:tc>
        <w:tc>
          <w:tcPr>
            <w:tcW w:w="7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sz w:val="21"/>
                <w:szCs w:val="21"/>
              </w:rPr>
            </w:pPr>
            <w:r>
              <w:rPr>
                <w:rFonts w:hint="eastAsia" w:ascii="仿宋_GB2312" w:hAnsi="仿宋_GB2312" w:eastAsia="仿宋_GB2312" w:cs="仿宋_GB2312"/>
                <w:sz w:val="21"/>
                <w:szCs w:val="21"/>
                <w:lang w:eastAsia="zh-CN"/>
              </w:rPr>
              <w:t>全力营造安全放心的消费环境，更好维护消费者合法权益，让人民群众“没有后顾之忧敢消费、消费环境优获得感强愿消费”，为</w:t>
            </w:r>
            <w:r>
              <w:rPr>
                <w:rFonts w:hint="eastAsia" w:ascii="仿宋_GB2312" w:hAnsi="仿宋_GB2312" w:eastAsia="仿宋_GB2312" w:cs="仿宋_GB2312"/>
                <w:sz w:val="21"/>
                <w:szCs w:val="21"/>
                <w:lang w:val="en-US" w:eastAsia="zh-CN"/>
              </w:rPr>
              <w:t>深圳</w:t>
            </w:r>
            <w:r>
              <w:rPr>
                <w:rFonts w:hint="eastAsia" w:ascii="仿宋_GB2312" w:hAnsi="仿宋_GB2312" w:eastAsia="仿宋_GB2312" w:cs="仿宋_GB2312"/>
                <w:sz w:val="21"/>
                <w:szCs w:val="21"/>
                <w:lang w:eastAsia="zh-CN"/>
              </w:rPr>
              <w:t>高质量发展提供有力支撑。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426" w:type="dxa"/>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资金安排</w:t>
            </w:r>
          </w:p>
        </w:tc>
        <w:tc>
          <w:tcPr>
            <w:tcW w:w="7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sz w:val="21"/>
                <w:szCs w:val="21"/>
              </w:rPr>
            </w:pPr>
            <w:r>
              <w:rPr>
                <w:rFonts w:hint="eastAsia" w:ascii="仿宋_GB2312" w:hAnsi="仿宋_GB2312" w:eastAsia="仿宋_GB2312" w:cs="仿宋_GB2312"/>
                <w:sz w:val="21"/>
                <w:szCs w:val="21"/>
                <w:lang w:val="en-US" w:eastAsia="zh-CN"/>
              </w:rPr>
              <w:t>消费教育“五进”项目资金由市财政资金予以保障，资金规模约40万元，已纳入2026年部门预算一上审核。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426" w:type="dxa"/>
            <w:noWrap w:val="0"/>
            <w:vAlign w:val="center"/>
          </w:tcPr>
          <w:p>
            <w:pPr>
              <w:jc w:val="center"/>
              <w:rPr>
                <w:rFonts w:hint="eastAsia"/>
                <w:b/>
                <w:bCs/>
                <w:sz w:val="24"/>
                <w:szCs w:val="24"/>
              </w:rPr>
            </w:pPr>
            <w:r>
              <w:rPr>
                <w:rFonts w:hint="eastAsia" w:ascii="仿宋_GB2312" w:hAnsi="仿宋_GB2312" w:eastAsia="仿宋_GB2312" w:cs="仿宋_GB2312"/>
                <w:b/>
                <w:bCs/>
                <w:sz w:val="24"/>
                <w:szCs w:val="24"/>
              </w:rPr>
              <w:t>绩效目标</w:t>
            </w:r>
          </w:p>
        </w:tc>
        <w:tc>
          <w:tcPr>
            <w:tcW w:w="7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从消费环境建设、维权效能提质营造放心消费环境。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1.提升消费服务质量，持续推进放心消费“双承诺”，引导消费领域经营者参与放心消费“双承诺”活动，新增放心消费“双承诺”商家2000家。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2.保障交易公平透明，新增数字人民币存管资金4亿元，推广智能合约使用，覆盖完成至12个重点领域。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3.提升消费安全，开展“预付无忧”建设，在全市建成30个“预付无忧点”。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4.开展消费教育活动，丰富消费教育内容。着重开展消费教育“五进”项目活动20场。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5.发布消费警示提示，聚焦群众关心的消费热点问题发布提示100条。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6.提升消费信任度，开展平台协议规则评审工作，切实保护消费者、平台内经营者等各方合法权益，每年集中审查协议规则80份。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eastAsia="宋体"/>
                <w:sz w:val="21"/>
                <w:szCs w:val="21"/>
                <w:lang w:val="en-US" w:eastAsia="zh-CN"/>
              </w:rPr>
            </w:pPr>
            <w:r>
              <w:rPr>
                <w:rFonts w:hint="eastAsia" w:ascii="仿宋_GB2312" w:hAnsi="仿宋_GB2312" w:eastAsia="仿宋_GB2312" w:cs="仿宋_GB2312"/>
                <w:sz w:val="21"/>
                <w:szCs w:val="21"/>
                <w:lang w:val="en-US" w:eastAsia="zh-CN"/>
              </w:rPr>
              <w:t xml:space="preserve">7.保障消费者知情权，在全国12315平台公示我市消费领域投诉纠纷解决情况等消费投诉信息25万条。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426" w:type="dxa"/>
            <w:noWrap w:val="0"/>
            <w:vAlign w:val="center"/>
          </w:tcPr>
          <w:p>
            <w:pPr>
              <w:jc w:val="center"/>
              <w:rPr>
                <w:rFonts w:hint="eastAsia"/>
                <w:b/>
                <w:bCs/>
                <w:sz w:val="24"/>
                <w:szCs w:val="24"/>
              </w:rPr>
            </w:pPr>
            <w:r>
              <w:rPr>
                <w:rFonts w:hint="eastAsia" w:ascii="仿宋_GB2312" w:hAnsi="仿宋_GB2312" w:eastAsia="仿宋_GB2312" w:cs="仿宋_GB2312"/>
                <w:b/>
                <w:bCs/>
                <w:sz w:val="24"/>
                <w:szCs w:val="24"/>
              </w:rPr>
              <w:t>指标说明</w:t>
            </w:r>
          </w:p>
        </w:tc>
        <w:tc>
          <w:tcPr>
            <w:tcW w:w="70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开展放心消费“双承诺”工作，被列入《广东省“民生十大工程”五年行动计划（2023-2027年）》，将连续五年成为广东省十件民生实事之一。放心消费“双承诺”工作内容主要包括引导消费领域经营者参与“放心消费承诺”和“线下无理由退货承诺”，持续优化消费环境、有效增强消费信心、充分释放内需潜力，为深圳高质量发展提供有力支撑。开展放心消费“双承诺”工作，需安排人力物力引导、发动、倡导商家参与，并配套后续的资料审核、公示牌制作、承诺情况核查等工作，根据相关资金人员安排，暂定为每季度新增放心消费“双承诺”商家500家，共新增2000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推广数字人民币智能合约技术在预付资金存管中的应用，实现“预付资金全程可控、消费明细实时可溯、剩余款项原路可退”，从根本上杜绝预付资金被挪用、套取和卷款跑路风险；该指标反映数字人民币预付监管模式的推广实效和市场主体接受程度，是检验我市“数币+智能合约+预付监管”融合应用成果的核心衡量标准。新增数字人民币存管资金4亿元，表明更多消费者和商户选择并信任该监管机制，资金安全屏障进一步巩固，为我市建设国际消费中心城市提供坚实支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1"/>
                <w:szCs w:val="21"/>
                <w:lang w:eastAsia="zh-CN"/>
              </w:rPr>
            </w:pPr>
            <w:bookmarkStart w:id="0" w:name="_GoBack"/>
            <w:bookmarkEnd w:id="0"/>
            <w:r>
              <w:rPr>
                <w:rFonts w:hint="eastAsia" w:ascii="仿宋_GB2312" w:hAnsi="仿宋_GB2312" w:eastAsia="仿宋_GB2312" w:cs="仿宋_GB2312"/>
                <w:sz w:val="21"/>
                <w:szCs w:val="21"/>
                <w:lang w:eastAsia="zh-CN"/>
              </w:rPr>
              <w:t>3.开展“预付无忧”示范建设是构建功能完善的多层级城市商业体系、提高居民消费品质的重要内容，对健全现代流通体系、夯实国内大循环基础、服务构建新发展格局具有重要意义。近年来，我国城市商业发展成效明显，但在供给质量、消费环境等方面还有待优化，以教育培训、美容美发、体育健身等预付式经营重点行业消费集中区域作为重点建设对象，在全市打造不少于30个“预付无忧示范点”，并培育一批“预付无忧示范商家”，能够充分发挥示范引领作用，稳定消费预期、提振消费信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开展常态化消费教育活动，能够加强消费知识普及，倡导文明、健康、绿色消费理念，提高消费者依法、理性维权的意识和能力，同时加强对重点行业经营者的示范引领，提高全社会经营者依法经营的意识，打造国际一流的消费环境，助力深圳构筑国际消费中心城市。开展消费教育“五进”大型宣传活动，需策划安排人力物力，根据相关资金人员安排，暂定为每季度5场，总共20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5.发布消费提示，可以提醒消费者在购买商品或接受服务时，关注商品质量、价格、售后服务等关键因素，增强消费者的自我保护意识和辨别能力、预防消费陷阱。促进市场健康发展、规范市场秩序、推动行业自律：通过向公众传达行业标准和消费规范，消费提示可以促使行业协会和企业加强自律，提升产品和服务质量，推动整个行业的健康发展。保障消费者权益、提供维权依据、提高维权效率，通过发布消费提示，可以引导消费者通过正规渠道进行投诉和举报，减少消费纠纷的解决时间和成本，提高维权效率。根据推算，每季度发布消费提示25条，总共100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6.开展平台协议规则评审是落实国家关于平台经济规范健康发展要求的重要举措，通过专业评审可系统排查协议规则中存在的权利义务失衡、责任转嫁等突出问题，推动平台企业依法合规经营。该项目是落实《电子商务法》《网络直播营销管理办法》等法律法规的关键抓手，有助于压实平台主体责任，保护消费者及平台内经营者合法权益，促进平台经济健康持续发展。根据工作安排，拟定期组织开展协议规则集中评审，全年共 80 份次。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bCs/>
                <w:sz w:val="21"/>
                <w:szCs w:val="21"/>
              </w:rPr>
            </w:pPr>
            <w:r>
              <w:rPr>
                <w:rFonts w:hint="eastAsia" w:ascii="仿宋_GB2312" w:hAnsi="仿宋_GB2312" w:eastAsia="仿宋_GB2312" w:cs="仿宋_GB2312"/>
                <w:sz w:val="21"/>
                <w:szCs w:val="21"/>
                <w:lang w:eastAsia="zh-CN"/>
              </w:rPr>
              <w:t>7.为落实建设全国统一大市场、优化消费环境的要求，根据国家市场监管总局发布的《市场监督管理投诉信息公示暂行规则》，通过在全国12315平台晒出我市消费者评价、汇聚商家诚信度、投诉纠纷解决情况等实时大数据，让我市消费者明明白白消费，让经营者诚信守法经营。实施消费投诉信息公示，有利于倒逼经营者落实消费维权主体责任，主动化解消费纠纷。消费投诉信息公示是市场监管部门为保障消费者权益、减少信息不对称、强化社会监督而采取的重要措施。通过公开处理消费者投诉的信息，不仅增强了消费者的知情权和选择权，还促使经营者落实消费维权主体责任，推动消费纠纷在源头解决，进而促进经济的高质量发展。但投诉信息公示不是“黑名单”，不作为一个企业诚信的评价标准，对经营者来说既是监督又是激励。结合我市消费投诉信息总量，故将此指标定为25万条。</w:t>
            </w:r>
          </w:p>
        </w:tc>
      </w:tr>
    </w:tbl>
    <w:p/>
    <w:sectPr>
      <w:pgSz w:w="11906" w:h="16838"/>
      <w:pgMar w:top="1440" w:right="1800" w:bottom="117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B3A85"/>
    <w:rsid w:val="01A10399"/>
    <w:rsid w:val="01F2569F"/>
    <w:rsid w:val="04E47279"/>
    <w:rsid w:val="0AFC6CD7"/>
    <w:rsid w:val="0DDA0620"/>
    <w:rsid w:val="12285272"/>
    <w:rsid w:val="1D237FC9"/>
    <w:rsid w:val="36FB5C14"/>
    <w:rsid w:val="378242D2"/>
    <w:rsid w:val="3DBD9AD4"/>
    <w:rsid w:val="41171FD0"/>
    <w:rsid w:val="466B3A85"/>
    <w:rsid w:val="4B707C68"/>
    <w:rsid w:val="4C2B3D45"/>
    <w:rsid w:val="53767AF1"/>
    <w:rsid w:val="5E5E6551"/>
    <w:rsid w:val="69597E07"/>
    <w:rsid w:val="6F37E32E"/>
    <w:rsid w:val="73D15876"/>
    <w:rsid w:val="77C70E30"/>
    <w:rsid w:val="7F7D0EDD"/>
    <w:rsid w:val="E2D59CB2"/>
    <w:rsid w:val="F1F7496C"/>
    <w:rsid w:val="FBEF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semiHidden/>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2023-07-27T09:27:00Z</dcterms:created>
  <dc:creator>周文丽</dc:creator>
  <cp:lastModifiedBy>chenyf8</cp:lastModifiedBy>
  <dcterms:modified xsi:type="dcterms:W3CDTF">2025-09-03T11:52:01Z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