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255"/>
          <w:numId w:val="0"/>
        </w:numPr>
        <w:kinsoku/>
        <w:wordWrap/>
        <w:topLinePunct w:val="0"/>
        <w:autoSpaceDE/>
        <w:autoSpaceDN/>
        <w:bidi w:val="0"/>
        <w:adjustRightInd/>
        <w:snapToGrid/>
        <w:spacing w:after="0" w:line="579" w:lineRule="exact"/>
        <w:ind w:firstLine="0" w:firstLineChars="0"/>
        <w:jc w:val="left"/>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color w:val="000000"/>
          <w:sz w:val="32"/>
          <w:szCs w:val="32"/>
          <w:highlight w:val="none"/>
          <w:lang w:eastAsia="zh-CN"/>
        </w:rPr>
        <w:t>附件</w:t>
      </w:r>
      <w:r>
        <w:rPr>
          <w:rFonts w:hint="eastAsia" w:ascii="仿宋_GB2312" w:hAnsi="仿宋_GB2312" w:eastAsia="仿宋_GB2312" w:cs="仿宋_GB2312"/>
          <w:b/>
          <w:bCs/>
          <w:color w:val="000000"/>
          <w:sz w:val="32"/>
          <w:szCs w:val="32"/>
          <w:highlight w:val="none"/>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关于</w:t>
      </w:r>
      <w:r>
        <w:rPr>
          <w:rFonts w:hint="eastAsia" w:ascii="方正小标宋简体" w:hAnsi="方正小标宋简体" w:eastAsia="方正小标宋简体" w:cs="方正小标宋简体"/>
          <w:b w:val="0"/>
          <w:bCs w:val="0"/>
          <w:color w:val="000000"/>
          <w:sz w:val="44"/>
          <w:szCs w:val="44"/>
        </w:rPr>
        <w:t>《深圳经济特区预付式经营管理若干规定（</w:t>
      </w:r>
      <w:r>
        <w:rPr>
          <w:rFonts w:hint="eastAsia" w:ascii="方正小标宋简体" w:hAnsi="方正小标宋简体" w:eastAsia="方正小标宋简体" w:cs="方正小标宋简体"/>
          <w:b w:val="0"/>
          <w:bCs w:val="0"/>
          <w:color w:val="000000"/>
          <w:sz w:val="44"/>
          <w:szCs w:val="44"/>
          <w:lang w:eastAsia="zh-CN"/>
        </w:rPr>
        <w:t>征求意见稿</w:t>
      </w:r>
      <w:r>
        <w:rPr>
          <w:rFonts w:hint="eastAsia" w:ascii="方正小标宋简体" w:hAnsi="方正小标宋简体" w:eastAsia="方正小标宋简体" w:cs="方正小标宋简体"/>
          <w:b w:val="0"/>
          <w:bCs w:val="0"/>
          <w:color w:val="000000"/>
          <w:sz w:val="44"/>
          <w:szCs w:val="44"/>
        </w:rPr>
        <w:t>）》</w:t>
      </w:r>
      <w:r>
        <w:rPr>
          <w:rFonts w:hint="eastAsia" w:ascii="方正小标宋简体" w:hAnsi="方正小标宋简体" w:eastAsia="方正小标宋简体" w:cs="方正小标宋简体"/>
          <w:b w:val="0"/>
          <w:bCs w:val="0"/>
          <w:color w:val="000000"/>
          <w:sz w:val="44"/>
          <w:szCs w:val="44"/>
          <w:lang w:val="en-US" w:eastAsia="zh-CN"/>
        </w:rPr>
        <w:t>的</w:t>
      </w:r>
      <w:r>
        <w:rPr>
          <w:rFonts w:hint="eastAsia" w:ascii="方正小标宋简体" w:hAnsi="方正小标宋简体" w:eastAsia="方正小标宋简体" w:cs="方正小标宋简体"/>
          <w:b w:val="0"/>
          <w:bCs w:val="0"/>
          <w:color w:val="000000"/>
          <w:sz w:val="44"/>
          <w:szCs w:val="44"/>
        </w:rPr>
        <w:t>起草说明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firstLine="480" w:firstLineChars="15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为加强预付式经营管理，保护消费者合法权益，规范预付式消费市场秩序，发挥消费对经济发展的基础性作用，助力深圳</w:t>
      </w:r>
      <w:r>
        <w:rPr>
          <w:rFonts w:hint="eastAsia" w:ascii="仿宋_GB2312" w:eastAsia="仿宋_GB2312"/>
          <w:sz w:val="32"/>
          <w:szCs w:val="32"/>
          <w:lang w:val="en-US" w:eastAsia="zh-CN"/>
        </w:rPr>
        <w:t>加快建设具有全球重要影响力的消费中心，</w:t>
      </w:r>
      <w:r>
        <w:rPr>
          <w:rFonts w:hint="eastAsia" w:ascii="仿宋_GB2312" w:hAnsi="仿宋_GB2312" w:eastAsia="仿宋_GB2312" w:cs="仿宋_GB2312"/>
          <w:color w:val="000000"/>
          <w:kern w:val="0"/>
          <w:sz w:val="32"/>
          <w:szCs w:val="32"/>
          <w:lang w:val="en-US" w:eastAsia="zh-CN" w:bidi="ar"/>
        </w:rPr>
        <w:t>市市场监管局牵头研究，组织起草了《深圳经济特区预付式经营管理若干规定（征求意见稿）》（以下简称《规定》）。现将有关情况说明如下：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一、立法的必要性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sz w:val="32"/>
          <w:szCs w:val="32"/>
        </w:rPr>
        <w:t>（一）</w:t>
      </w:r>
      <w:r>
        <w:rPr>
          <w:rFonts w:hint="eastAsia" w:ascii="楷体_GB2312" w:hAnsi="楷体_GB2312" w:eastAsia="楷体_GB2312" w:cs="楷体_GB2312"/>
          <w:b w:val="0"/>
          <w:bCs w:val="0"/>
          <w:color w:val="000000"/>
          <w:sz w:val="32"/>
          <w:szCs w:val="32"/>
          <w:lang w:eastAsia="zh-CN"/>
        </w:rPr>
        <w:t>制定《规定》是贯彻落实党中央国务院促进消费决策部署的重要体现。</w:t>
      </w:r>
      <w:r>
        <w:rPr>
          <w:rFonts w:hint="eastAsia" w:ascii="仿宋_GB2312" w:hAnsi="仿宋_GB2312" w:eastAsia="仿宋_GB2312" w:cs="仿宋_GB2312"/>
          <w:b w:val="0"/>
          <w:bCs w:val="0"/>
          <w:sz w:val="32"/>
          <w:szCs w:val="32"/>
        </w:rPr>
        <w:t>党的二十大报告指出，着力扩大内需，增强消费对经济发展的基础性作用和投资对优化供给结构的关键作用。202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年中央经济工作会议将“坚持内需主导，建设强大国内市场”摆在2026年经济工作重点任务首位</w:t>
      </w:r>
      <w:r>
        <w:rPr>
          <w:rFonts w:hint="eastAsia" w:ascii="仿宋_GB2312" w:hAnsi="仿宋_GB2312" w:eastAsia="仿宋_GB2312" w:cs="仿宋_GB2312"/>
          <w:b w:val="0"/>
          <w:bCs w:val="0"/>
          <w:sz w:val="32"/>
          <w:szCs w:val="32"/>
          <w:lang w:eastAsia="zh-CN"/>
        </w:rPr>
        <w:t>，国务院常务会议也对深入实施提振消费专项行动作出了再部署</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lang w:val="en-US" w:eastAsia="zh-CN" w:bidi="ar"/>
        </w:rPr>
        <w:t>通过特区立法规范预付式经营管理，既是深圳贯彻落实党中央、国务院决策部署的具体行动，也是构建“放心消费”环境、激发消费内生动力的重要举措，对推动经济高质量发展具有重要意义。</w:t>
      </w:r>
    </w:p>
    <w:p>
      <w:pPr>
        <w:widowControl w:val="0"/>
        <w:wordWrap/>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color w:val="auto"/>
          <w:spacing w:val="0"/>
          <w:kern w:val="0"/>
          <w:sz w:val="32"/>
          <w:szCs w:val="32"/>
          <w:highlight w:val="none"/>
          <w:lang w:val="en-US" w:eastAsia="zh-CN"/>
        </w:rPr>
        <w:t>（二）制定《规定》是</w:t>
      </w:r>
      <w:r>
        <w:rPr>
          <w:rFonts w:hint="eastAsia" w:ascii="楷体_GB2312" w:hAnsi="楷体_GB2312" w:eastAsia="楷体_GB2312" w:cs="楷体_GB2312"/>
          <w:color w:val="auto"/>
          <w:spacing w:val="0"/>
          <w:kern w:val="0"/>
          <w:sz w:val="32"/>
          <w:szCs w:val="32"/>
          <w:highlight w:val="none"/>
          <w:lang w:val="en-US"/>
        </w:rPr>
        <w:t>优化消费环境</w:t>
      </w:r>
      <w:r>
        <w:rPr>
          <w:rFonts w:hint="default" w:ascii="楷体_GB2312" w:hAnsi="楷体_GB2312" w:eastAsia="楷体_GB2312" w:cs="楷体_GB2312"/>
          <w:color w:val="auto"/>
          <w:spacing w:val="0"/>
          <w:kern w:val="0"/>
          <w:sz w:val="32"/>
          <w:szCs w:val="32"/>
          <w:highlight w:val="none"/>
        </w:rPr>
        <w:t>、</w:t>
      </w:r>
      <w:r>
        <w:rPr>
          <w:rFonts w:hint="eastAsia" w:ascii="楷体_GB2312" w:hAnsi="楷体_GB2312" w:eastAsia="楷体_GB2312" w:cs="楷体_GB2312"/>
          <w:color w:val="auto"/>
          <w:spacing w:val="0"/>
          <w:kern w:val="0"/>
          <w:sz w:val="32"/>
          <w:szCs w:val="32"/>
          <w:highlight w:val="none"/>
          <w:lang w:val="en-US"/>
        </w:rPr>
        <w:t>更好满足市民美好生活需要的</w:t>
      </w:r>
      <w:r>
        <w:rPr>
          <w:rFonts w:hint="eastAsia" w:ascii="楷体_GB2312" w:hAnsi="楷体_GB2312" w:eastAsia="楷体_GB2312" w:cs="楷体_GB2312"/>
          <w:color w:val="auto"/>
          <w:spacing w:val="0"/>
          <w:kern w:val="0"/>
          <w:sz w:val="32"/>
          <w:szCs w:val="32"/>
          <w:highlight w:val="none"/>
          <w:lang w:val="en-US" w:eastAsia="zh-CN"/>
        </w:rPr>
        <w:t>重要举措</w:t>
      </w:r>
      <w:r>
        <w:rPr>
          <w:rFonts w:hint="default" w:ascii="楷体_GB2312" w:hAnsi="楷体_GB2312" w:eastAsia="楷体_GB2312" w:cs="楷体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lang w:val="en-US"/>
        </w:rPr>
        <w:t>为了切实维护消费者合法权益</w:t>
      </w:r>
      <w:r>
        <w:rPr>
          <w:rFonts w:hint="default" w:ascii="仿宋_GB2312" w:hAnsi="仿宋_GB2312" w:eastAsia="仿宋_GB2312" w:cs="仿宋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lang w:val="en-US"/>
        </w:rPr>
        <w:t>进一步营造安全放心的消费环境</w:t>
      </w:r>
      <w:r>
        <w:rPr>
          <w:rFonts w:hint="default" w:ascii="仿宋_GB2312" w:hAnsi="仿宋_GB2312" w:eastAsia="仿宋_GB2312" w:cs="仿宋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lang w:val="en-US"/>
        </w:rPr>
        <w:t>增强市民在消费中的获得感</w:t>
      </w:r>
      <w:r>
        <w:rPr>
          <w:rFonts w:hint="default" w:ascii="仿宋_GB2312" w:hAnsi="仿宋_GB2312" w:eastAsia="仿宋_GB2312" w:cs="仿宋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lang w:val="en-US"/>
        </w:rPr>
        <w:t>有必要随着</w:t>
      </w:r>
      <w:r>
        <w:rPr>
          <w:rFonts w:hint="eastAsia" w:ascii="仿宋_GB2312" w:hAnsi="仿宋_GB2312" w:eastAsia="仿宋_GB2312" w:cs="仿宋_GB2312"/>
          <w:color w:val="auto"/>
          <w:spacing w:val="0"/>
          <w:kern w:val="0"/>
          <w:sz w:val="32"/>
          <w:szCs w:val="32"/>
          <w:highlight w:val="none"/>
          <w:lang w:val="en-US" w:eastAsia="zh-CN"/>
        </w:rPr>
        <w:t>预付式经营相关</w:t>
      </w:r>
      <w:r>
        <w:rPr>
          <w:rFonts w:hint="eastAsia" w:ascii="仿宋_GB2312" w:hAnsi="仿宋_GB2312" w:eastAsia="仿宋_GB2312" w:cs="仿宋_GB2312"/>
          <w:color w:val="auto"/>
          <w:spacing w:val="0"/>
          <w:kern w:val="0"/>
          <w:sz w:val="32"/>
          <w:szCs w:val="32"/>
          <w:highlight w:val="none"/>
          <w:lang w:val="en-US"/>
        </w:rPr>
        <w:t>行业的发展</w:t>
      </w:r>
      <w:r>
        <w:rPr>
          <w:rFonts w:hint="default" w:ascii="仿宋_GB2312" w:hAnsi="仿宋_GB2312" w:eastAsia="仿宋_GB2312" w:cs="仿宋_GB2312"/>
          <w:color w:val="auto"/>
          <w:spacing w:val="0"/>
          <w:kern w:val="0"/>
          <w:sz w:val="32"/>
          <w:szCs w:val="32"/>
          <w:highlight w:val="none"/>
          <w:lang w:val="en-US"/>
        </w:rPr>
        <w:t>，</w:t>
      </w:r>
      <w:r>
        <w:rPr>
          <w:rFonts w:hint="eastAsia" w:ascii="仿宋_GB2312" w:hAnsi="仿宋_GB2312" w:eastAsia="仿宋_GB2312" w:cs="仿宋_GB2312"/>
          <w:color w:val="auto"/>
          <w:spacing w:val="0"/>
          <w:kern w:val="0"/>
          <w:sz w:val="32"/>
          <w:szCs w:val="32"/>
          <w:highlight w:val="none"/>
          <w:lang w:val="en-US"/>
        </w:rPr>
        <w:t>同步制定完善法规制度</w:t>
      </w:r>
      <w:r>
        <w:rPr>
          <w:rFonts w:hint="default" w:ascii="仿宋_GB2312" w:hAnsi="仿宋_GB2312" w:eastAsia="仿宋_GB2312" w:cs="仿宋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lang w:val="en-US"/>
        </w:rPr>
        <w:t>优化消费环境</w:t>
      </w:r>
      <w:r>
        <w:rPr>
          <w:rFonts w:hint="eastAsia" w:ascii="仿宋_GB2312" w:hAnsi="仿宋_GB2312" w:eastAsia="仿宋_GB2312" w:cs="仿宋_GB2312"/>
          <w:color w:val="auto"/>
          <w:spacing w:val="0"/>
          <w:kern w:val="0"/>
          <w:sz w:val="32"/>
          <w:szCs w:val="32"/>
          <w:highlight w:val="none"/>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三</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制定《规定》是破解</w:t>
      </w:r>
      <w:r>
        <w:rPr>
          <w:rFonts w:hint="eastAsia" w:ascii="楷体_GB2312" w:hAnsi="楷体_GB2312" w:eastAsia="楷体_GB2312" w:cs="楷体_GB2312"/>
          <w:b w:val="0"/>
          <w:bCs w:val="0"/>
          <w:color w:val="000000"/>
          <w:sz w:val="32"/>
          <w:szCs w:val="32"/>
        </w:rPr>
        <w:t>突出问题</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保护消费者合法权益的迫切需要</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近年来，教育培训、体育健身、美容美发等生活消费领域预付式经营活动中“霸王条款”、不履行合同义务、不按约定提供商品或服务、关门闭店退费难等问题屡有发生，市民对一些行业、领域存在的问题反映突出，亟需通过立法切实解决市民“急难愁盼”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 w:hAnsi="仿宋" w:eastAsia="仿宋" w:cs="仿宋"/>
          <w:b/>
          <w:bCs/>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四</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制定《规定》是提升我市预付式经营领域法治化水平、</w:t>
      </w:r>
      <w:r>
        <w:rPr>
          <w:rFonts w:hint="eastAsia" w:ascii="楷体_GB2312" w:hAnsi="楷体_GB2312" w:eastAsia="楷体_GB2312" w:cs="楷体_GB2312"/>
          <w:b w:val="0"/>
          <w:bCs w:val="0"/>
          <w:color w:val="000000"/>
          <w:sz w:val="32"/>
          <w:szCs w:val="32"/>
        </w:rPr>
        <w:t>完善市场监管体系的</w:t>
      </w:r>
      <w:r>
        <w:rPr>
          <w:rFonts w:hint="eastAsia" w:ascii="楷体_GB2312" w:hAnsi="楷体_GB2312" w:eastAsia="楷体_GB2312" w:cs="楷体_GB2312"/>
          <w:b w:val="0"/>
          <w:bCs w:val="0"/>
          <w:color w:val="000000"/>
          <w:sz w:val="32"/>
          <w:szCs w:val="32"/>
          <w:lang w:eastAsia="zh-CN"/>
        </w:rPr>
        <w:t>必然要求。</w:t>
      </w:r>
      <w:r>
        <w:rPr>
          <w:rFonts w:hint="eastAsia" w:ascii="仿宋_GB2312" w:hAnsi="仿宋_GB2312" w:eastAsia="仿宋_GB2312" w:cs="仿宋_GB2312"/>
          <w:b w:val="0"/>
          <w:bCs w:val="0"/>
          <w:color w:val="000000"/>
          <w:kern w:val="0"/>
          <w:sz w:val="32"/>
          <w:szCs w:val="32"/>
          <w:lang w:val="en-US" w:eastAsia="zh-CN" w:bidi="ar"/>
        </w:rPr>
        <w:t>规范单用途预付卡经营活动必须运用法治思维和法治方式，强化制度建设和制度执行。近年来本市在破解相关领域痼疾顽症、规范市场秩序方面探索出一批成功经验，破解了一系列痛点难点问题，迫切需要将相关经验上升为法规制度，增强实效性和约束力，从制度层面为治理规范相关领域提供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楷体_GB2312" w:hAnsi="楷体_GB2312" w:eastAsia="黑体" w:cs="楷体_GB2312"/>
          <w:b w:val="0"/>
          <w:bCs w:val="0"/>
          <w:color w:val="000000"/>
          <w:sz w:val="32"/>
          <w:szCs w:val="32"/>
          <w:lang w:eastAsia="zh-CN"/>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b w:val="0"/>
          <w:bCs w:val="0"/>
          <w:kern w:val="0"/>
          <w:sz w:val="32"/>
          <w:szCs w:val="32"/>
          <w:highlight w:val="none"/>
          <w:lang w:val="en-US" w:eastAsia="zh-CN"/>
        </w:rPr>
        <w:t>、</w:t>
      </w:r>
      <w:r>
        <w:rPr>
          <w:rFonts w:hint="eastAsia" w:ascii="黑体" w:hAnsi="黑体" w:eastAsia="黑体"/>
          <w:b w:val="0"/>
          <w:bCs w:val="0"/>
          <w:kern w:val="0"/>
          <w:sz w:val="32"/>
          <w:szCs w:val="32"/>
          <w:highlight w:val="none"/>
        </w:rPr>
        <w:t>主要内容</w:t>
      </w:r>
      <w:r>
        <w:rPr>
          <w:rFonts w:hint="eastAsia" w:ascii="黑体" w:hAnsi="黑体" w:eastAsia="黑体"/>
          <w:b w:val="0"/>
          <w:bCs w:val="0"/>
          <w:kern w:val="0"/>
          <w:sz w:val="32"/>
          <w:szCs w:val="32"/>
          <w:highlight w:val="none"/>
          <w:lang w:eastAsia="zh-CN"/>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《规定》立足深圳经济特区实际，针对预付式消费领域突出问题，坚持规范与发展并重、风险防范与权益保护并重，共计31条，主要内容如下：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（一）明确监管体制与各方职责。</w:t>
      </w:r>
      <w:r>
        <w:rPr>
          <w:rFonts w:hint="eastAsia" w:ascii="仿宋_GB2312" w:hAnsi="仿宋_GB2312" w:eastAsia="仿宋_GB2312" w:cs="仿宋_GB2312"/>
          <w:b w:val="0"/>
          <w:bCs w:val="0"/>
          <w:color w:val="000000"/>
          <w:kern w:val="0"/>
          <w:sz w:val="32"/>
          <w:szCs w:val="32"/>
          <w:lang w:val="en-US" w:eastAsia="zh-CN" w:bidi="ar"/>
        </w:rPr>
        <w:t>确立了“规范发展、风险防范、行业监管、部门协同、社会共治”的管理原则（第三条）。构建了由市、区人民政府领导，预付式经营监管议事协调机构统筹协调，教育、商务、文化广电旅游体育等部门按职责分工负责，街道办事处协助，公安、金融、数据等多部门协同的监管格局（第四、五条）。同时明确了消费者委员会的社会监督职责（第六条）及行业组织的自律引导作用（第七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（二）构建数字化协同监管平台。</w:t>
      </w:r>
      <w:r>
        <w:rPr>
          <w:rFonts w:hint="eastAsia" w:ascii="仿宋_GB2312" w:hAnsi="仿宋_GB2312" w:eastAsia="仿宋_GB2312" w:cs="仿宋_GB2312"/>
          <w:b w:val="0"/>
          <w:bCs w:val="0"/>
          <w:color w:val="000000"/>
          <w:kern w:val="0"/>
          <w:sz w:val="32"/>
          <w:szCs w:val="32"/>
          <w:lang w:val="en-US" w:eastAsia="zh-CN" w:bidi="ar"/>
        </w:rPr>
        <w:t>提出建设全市统一的预付式经营主体监测监管系统和公共信息查询平台（第八条）。通过系统实现经营</w:t>
      </w:r>
      <w:bookmarkStart w:id="0" w:name="_GoBack"/>
      <w:bookmarkEnd w:id="0"/>
      <w:r>
        <w:rPr>
          <w:rFonts w:hint="eastAsia" w:ascii="仿宋_GB2312" w:hAnsi="仿宋_GB2312" w:eastAsia="仿宋_GB2312" w:cs="仿宋_GB2312"/>
          <w:b w:val="0"/>
          <w:bCs w:val="0"/>
          <w:color w:val="000000"/>
          <w:kern w:val="0"/>
          <w:sz w:val="32"/>
          <w:szCs w:val="32"/>
          <w:lang w:val="en-US" w:eastAsia="zh-CN" w:bidi="ar"/>
        </w:rPr>
        <w:t>者信息报送纳管、风险监测预警、分级分类监管及市、区、街道三级任务联动处置闭环（第九条）。通过平台为经营者提供统一备案入口，为消费者提供便捷的信息查询渠道（第九条），以科技赋能提升监管效能与透明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（三）设定经营者准入与持续义务。</w:t>
      </w:r>
      <w:r>
        <w:rPr>
          <w:rFonts w:hint="eastAsia" w:ascii="仿宋_GB2312" w:hAnsi="仿宋_GB2312" w:eastAsia="仿宋_GB2312" w:cs="仿宋_GB2312"/>
          <w:b w:val="0"/>
          <w:bCs w:val="0"/>
          <w:color w:val="000000"/>
          <w:kern w:val="0"/>
          <w:sz w:val="32"/>
          <w:szCs w:val="32"/>
          <w:lang w:val="en-US" w:eastAsia="zh-CN" w:bidi="ar"/>
        </w:rPr>
        <w:t>明确了经营者的基本合规义务（第十条），建立了经营者信息备案制度（第十一条），并列举了不得收取预付款的八种负面情形（第十二条），源头防范风险。要求经营者在显著位置进行信息公示，并明确了场地出租方的资质审查义务（第十三条），保障消费者知情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（四）建立资金安全保障与限额机制。</w:t>
      </w:r>
      <w:r>
        <w:rPr>
          <w:rFonts w:hint="eastAsia" w:ascii="仿宋_GB2312" w:hAnsi="仿宋_GB2312" w:eastAsia="仿宋_GB2312" w:cs="仿宋_GB2312"/>
          <w:b w:val="0"/>
          <w:bCs w:val="0"/>
          <w:color w:val="000000"/>
          <w:kern w:val="0"/>
          <w:sz w:val="32"/>
          <w:szCs w:val="32"/>
          <w:lang w:val="en-US" w:eastAsia="zh-CN" w:bidi="ar"/>
        </w:rPr>
        <w:t>鼓励经营者建立预收资金安全保障机制，并可灵活选择银行存管、数字人民币钱包、保证保险等多种措施（第十四条）。对采取有效资金保障措施的经营者，豁免后续的预收款限额限期。同时，设定了行业差异化的预收款限额与服务期限（第十六条），平衡风险防控与行业发展需求，并授权市级部门动态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（五）规范经营行为与保护消费者权益。</w:t>
      </w:r>
      <w:r>
        <w:rPr>
          <w:rFonts w:hint="eastAsia" w:ascii="仿宋_GB2312" w:hAnsi="仿宋_GB2312" w:eastAsia="仿宋_GB2312" w:cs="仿宋_GB2312"/>
          <w:b w:val="0"/>
          <w:bCs w:val="0"/>
          <w:color w:val="000000"/>
          <w:kern w:val="0"/>
          <w:sz w:val="32"/>
          <w:szCs w:val="32"/>
          <w:lang w:val="en-US" w:eastAsia="zh-CN" w:bidi="ar"/>
        </w:rPr>
        <w:t>列举了格式条款禁止内容（第十七条），保障合同公平。设立了七日冷静期制度，赋予消费者在合理条件下的合同解除权（第十八条）。明确了经营者违约、擅自转让业务等情形下消费者的退款权利（第十九条）。通过上述规定，全面规范经营行为，强化消费者权益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（六）完善信用监管与法律责任。</w:t>
      </w:r>
      <w:r>
        <w:rPr>
          <w:rFonts w:hint="eastAsia" w:ascii="仿宋_GB2312" w:hAnsi="仿宋_GB2312" w:eastAsia="仿宋_GB2312" w:cs="仿宋_GB2312"/>
          <w:b w:val="0"/>
          <w:bCs w:val="0"/>
          <w:color w:val="000000"/>
          <w:kern w:val="0"/>
          <w:sz w:val="32"/>
          <w:szCs w:val="32"/>
          <w:lang w:val="en-US" w:eastAsia="zh-CN" w:bidi="ar"/>
        </w:rPr>
        <w:t>建立预付式经营信用监管体系，实施分级分类监管与信用修复机制（第二十条）。明确了风险处置的属地与部门责任（第二十一条），并赋予监管部门相应的监督检查职权（第二十二条）。针对违反备案、公示、限额、退款等义务的行为，设定了梯度化的行政处罚（第二十四至二十八条），并做好行刑衔接（第二十九条），确保制度有效执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YzlkMjQzMWNjZDVkMjU4YzZiYTg5MjY2ZTM1ZGMifQ=="/>
  </w:docVars>
  <w:rsids>
    <w:rsidRoot w:val="2B9638E1"/>
    <w:rsid w:val="067D0861"/>
    <w:rsid w:val="27C844E7"/>
    <w:rsid w:val="28C12BE7"/>
    <w:rsid w:val="2B9638E1"/>
    <w:rsid w:val="388B92C7"/>
    <w:rsid w:val="3A32028A"/>
    <w:rsid w:val="3B3D94A8"/>
    <w:rsid w:val="49353463"/>
    <w:rsid w:val="4DFDB32E"/>
    <w:rsid w:val="5BD8455D"/>
    <w:rsid w:val="5F78BF06"/>
    <w:rsid w:val="5FF660AC"/>
    <w:rsid w:val="6C534A9E"/>
    <w:rsid w:val="6EFECF3D"/>
    <w:rsid w:val="6F92F652"/>
    <w:rsid w:val="6FD25CC9"/>
    <w:rsid w:val="7CCB84DF"/>
    <w:rsid w:val="7D7DF588"/>
    <w:rsid w:val="7FFE2D14"/>
    <w:rsid w:val="8F6C3231"/>
    <w:rsid w:val="ACB3F01D"/>
    <w:rsid w:val="AFCF98B7"/>
    <w:rsid w:val="B7FF886D"/>
    <w:rsid w:val="EBD6988C"/>
    <w:rsid w:val="EFFF246C"/>
    <w:rsid w:val="EFFF5ED0"/>
    <w:rsid w:val="FBF17EE3"/>
    <w:rsid w:val="FD5F392A"/>
    <w:rsid w:val="FFF5B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_Style 1"/>
    <w:basedOn w:val="1"/>
    <w:next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4876</Words>
  <Characters>4893</Characters>
  <Lines>0</Lines>
  <Paragraphs>0</Paragraphs>
  <TotalTime>0</TotalTime>
  <ScaleCrop>false</ScaleCrop>
  <LinksUpToDate>false</LinksUpToDate>
  <CharactersWithSpaces>4893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2026-01-29T23:51:00Z</dcterms:created>
  <dc:creator>林益沛lawyer</dc:creator>
  <cp:lastModifiedBy>shenjh</cp:lastModifiedBy>
  <cp:lastPrinted>2026-02-12T10:29:00Z</cp:lastPrinted>
  <dcterms:modified xsi:type="dcterms:W3CDTF">2026-02-12T18:53:49Z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F2F2CB677BBE4E57B165F37D7234E5FB_13</vt:lpwstr>
  </property>
  <property fmtid="{D5CDD505-2E9C-101B-9397-08002B2CF9AE}" pid="4" name="KSOTemplateDocerSaveRecord">
    <vt:lpwstr>eyJoZGlkIjoiYWRiNzU3MDg1NWQwNzMyZDkwYmQ5MWJmN2Y1ZWY2ODQiLCJ1c2VySWQiOiI0MDEyOTkyMzEifQ==</vt:lpwstr>
  </property>
</Properties>
</file>