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2025年深圳市知识产权金融典型案例清单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823"/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88" w:type="pct"/>
            <w:noWrap w:val="0"/>
            <w:vAlign w:val="top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  <w:t>案例编号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  <w:t>案例名称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rtl w:val="0"/>
                <w:lang w:val="en-US" w:eastAsia="zh-CN"/>
              </w:rPr>
              <w:t>案例摘要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南山区强化政策支撑及服务协同，积极构建区域优质知识产权金融生态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南山区以“政策+平台+服务”的创新举措，持续推广知识产权质押融资、证券化、保险等多元化金融产品，打造优质的知识产权金融服务体系。2025年，南山区专利和商标质押登记金额达175.15亿元，质押登记笔数627笔，均位列全市第一；先后发行人工智能、智慧城市等8期专题证券化产品，金额合计16.2亿元；全国首创海外知识产权保险联共体，创新构建“保司共保体+服务联合体”双轨机制，为企业出海构建“风险共担+服务共生”的保险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龙华区实施“知识产权龙腾计划”专项助企行动，推动知识产权金融服务能力升级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龙华区面向辖区“12+4”产业和未来产业集群的重点企业开展“知识产权龙腾计划”专项助企行动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，联合深圳市知识产权金融协会开展访前、访中、访后的全流程闭环服务，通过走访调研形成融资需求名单，组织金融机构开展“一对一”精准对接服务，让企业足不出户即可获得高质量专业服务，加速推动知识产权价值变现。2025年，龙华区专利和商标质押登记金额达79.5亿元，质押登记笔数134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宝安区创新构建“资源集成、平台赋能、精准滴灌”三位一体的知识产权金融服务新模式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宝安区创新构建“资源集成、平台赋能、精准滴灌”三位一体服务模式，打造“一中心、多点位”知识产权金融综合服务体系，推动服务模式从“粗放供给”向“精准匹配”转型升级，以“全链条赋能、全要素融合”持续推动知识产权质押融资扩面增效。2025年专利和商标质押融资登记规模84.4亿元，质押登记笔数317笔，打造了知识产权与产业、金融良性互动的基层实践样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深圳农商银行打造“专业免费评估+绿色审批保障+便捷线上质押”的一站式知识产权质押融资服务体系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深圳农商银行通过制度建设、产品设置、审批优化等工作，打造“专业免费评估+绿色审批保障+便捷线上质押”的“一站式”知识产权质押融资服务体系。形成《知识产权质押融资业务相关业务情形说明》，组织开展内部专项培训，提升工作人员业务能力；设置知识产权质押融资业务对接专员，提高业务推进效率；印发《深圳农商银行创新知识产权质押融资业务指引》，拓展集成电路布图设计和数据知识产权质押融资业务；设立质押融资专项奖金，促进大额知识产权融资业务落地。2025年专利和商标质押融资登记金额82.58亿元，质押登记笔数554笔，质押登记金额和笔数均位列全市银行机构第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兴业银行深圳分行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构建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“股权链+资金链+供应链”协同机制，推动知识产权金融深度链接产业需求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兴业银行深圳分行以产业金融为基底，发挥银行作为综合性金融机构“全链条、全场景”服务企业知识产权的优势，以产业金融“股权链、资金链、供应链”锚定客户，以产业链价值验证知识产权价值，以知识产权金融赋能产业链强链补链，从企业“需求侧”出发，向技术“供给侧”提供金融活水。2025年，兴业银行深圳分行专利和商标质押融资登记金额达55.88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招商银行深圳分行优化知识产权金融全流程线上化办理，打造全周期陪伴式融资服务新模式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招商银行深圳分行立足科技企业特点创新推出分模式、多场景的“科创贷”服务体系，以知识产权为核心评估指标构建特色审批模式，依托金融科技实现全流程线上化高效办理，联动政府开展入园惠企、政策落地等政银协同服务，精准破解科技企业融资难题，让知识产权价值有效转化为融资动能。2025年实现专利和商标质押融资登记金额77.37亿元，质押登记笔数216笔，助力企业成长为行业标杆，为知识产权金融生态构建提供了可复制的示范样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工商银行深圳市分行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产业化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专项金融产品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服务知识产权成果转化“最后一公里”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中国工商银行深圳市分行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聚焦中小企业专利产业化资金需求，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创新推出专利产业化专项金融产品，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鼓励企业开展专利产品备案，对专利密集型产品相关专利提供贷款利率更低、贷款期限更长的金融支持。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通过机制、产品、生态三重创新，系统性地为科技企业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产业化提供金融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支撑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，探索出一套以金融全链条加速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en-US"/>
              </w:rPr>
              <w:t>产业化的有效模式，为金融服务实体经济、推动科技创新成果转化提供了“工行经验”。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2025年，工商银行深圳市分行专利和商标质押融资登记金额超过69亿元。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全国首创知识产权证券化“双跨境”模式，深港知识产权金融合作实现新突破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在福田区人民政府大力支持下，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工商银行深圳市分行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与深担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集团等机构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联合发起的“中信证券-深担集团-3号知识产权资产支持专项计划（河套深港科技创新合作区）”在深交所正式挂牌，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成功落地全国首单“双跨境”知识产权证券化项目，发行规模4200万元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。该计划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聚焦河套合作区企业融资难点，首次实现“境外知识产权跨境质押+深港资金跨境认购”双突破，建立“境外质押登记—境内增信使用”路径，并引入境外合格投资者直接认购，推动深港金融市场互联互通，增强河套合作区科技成果转化能力，形成了可复制、可推广的跨境知识产权金融创新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人保财险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分公司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、平安产险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深圳分公司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、国任保险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联合服务机构成立海外知识产权保险联共体，破解企业出海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“保障难、维权贵”难题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人保财险深圳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市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分公司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平安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产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深圳分公司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、国任保险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会同嘉权专利商标事务所、精英知识产权、威世博知识产权、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华夏泰和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知识产权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柳沈（深圳）律所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等服务机构共同组建海外知识产权保险联共体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首创“保司共保体+服务联合体”双轨机制，以“风险前置”的承保模式、“联合共保”的风险分散机制、“保险+服务”的一站式生态，打造事前、事中、事后全链条海外知识产权风险保障体系。该模式已成功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落地实践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，有效提升了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海外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知识产权保险产品的可操作性与商业可持续性，是优化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营商环境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、以金融创新护航产业国际化发展的典型范例。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>
            <w:pPr>
              <w:pStyle w:val="9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17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华润深国投信托有限公司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落地深圳首批数据知识产权服务信托，以“知识产权+金融”破解成果转化难题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华润深国投信托有限公司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2025年成功落地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全省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首批数据知识产权服务信托，覆盖文化传承、城市治理、农业科技三大领域。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该项目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rtl w:val="0"/>
                <w:lang w:val="en-US" w:eastAsia="zh-CN"/>
              </w:rPr>
              <w:t>以数据知识产权实施许可权为信托财产，通过信托架构搭建多方协作平台，引入法律服务、资产评估、成果转化机构等专业力量，为企业搭建全链条知识产权服务生态，在实现数据知识产权权益保护、资产管理等基础功能外，充分增强其转化运用能力，成为探索“数据知识产权+服务信托”模式、破解成果转化难题的标杆实践。</w:t>
            </w:r>
          </w:p>
        </w:tc>
      </w:tr>
    </w:tbl>
    <w:p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spacing w:line="580" w:lineRule="exact"/>
        <w:rPr>
          <w:rFonts w:hint="default"/>
          <w:lang w:val="en-US" w:eastAsia="zh-CN"/>
        </w:rPr>
      </w:pPr>
    </w:p>
    <w:p/>
    <w:sectPr>
      <w:pgSz w:w="16838" w:h="11906" w:orient="landscape"/>
      <w:pgMar w:top="1474" w:right="1588" w:bottom="1474" w:left="1588" w:header="851" w:footer="992" w:gutter="0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2E7786"/>
    <w:rsid w:val="F32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numPr>
        <w:ilvl w:val="0"/>
        <w:numId w:val="1"/>
      </w:numPr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纯文本1"/>
    <w:unhideWhenUsed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2026-04-22T17:10:00Z</dcterms:created>
  <dc:creator>liuyt1</dc:creator>
  <cp:lastModifiedBy>liuyt1</cp:lastModifiedBy>
  <dcterms:modified xsi:type="dcterms:W3CDTF">2026-04-22T17:11:29Z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648CF17665CCD0509590E869FF0984CD</vt:lpwstr>
  </property>
</Properties>
</file>