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2025年深圳市专利转化运用典型案例</w:t>
      </w:r>
      <w:r>
        <w:rPr>
          <w:rFonts w:hint="eastAsia" w:ascii="方正小标宋简体" w:hAnsi="方正小标宋简体" w:eastAsia="方正小标宋简体" w:cs="方正小标宋简体"/>
          <w:sz w:val="44"/>
          <w:szCs w:val="44"/>
          <w:lang w:val="en-US" w:eastAsia="zh-CN"/>
        </w:rPr>
        <w:t>清单</w:t>
      </w:r>
    </w:p>
    <w:p>
      <w:pPr>
        <w:pStyle w:val="2"/>
        <w:rPr>
          <w:rFonts w:hint="eastAsia" w:ascii="方正小标宋简体" w:hAnsi="方正小标宋简体" w:eastAsia="方正小标宋简体" w:cs="方正小标宋简体"/>
          <w:sz w:val="44"/>
          <w:szCs w:val="44"/>
        </w:rPr>
      </w:pP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705"/>
        <w:gridCol w:w="9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blHeader/>
          <w:jc w:val="center"/>
        </w:trPr>
        <w:tc>
          <w:tcPr>
            <w:tcW w:w="281" w:type="pct"/>
            <w:noWrap w:val="0"/>
            <w:vAlign w:val="center"/>
          </w:tcPr>
          <w:p>
            <w:pPr>
              <w:spacing w:line="400" w:lineRule="exact"/>
              <w:jc w:val="center"/>
              <w:rPr>
                <w:rFonts w:hint="eastAsia" w:cs="仿宋_GB2312"/>
                <w:b/>
                <w:bCs/>
                <w:sz w:val="28"/>
                <w:szCs w:val="28"/>
              </w:rPr>
            </w:pPr>
            <w:r>
              <w:rPr>
                <w:rFonts w:hint="eastAsia" w:cs="仿宋_GB2312"/>
                <w:b/>
                <w:bCs/>
                <w:sz w:val="28"/>
                <w:szCs w:val="28"/>
              </w:rPr>
              <w:t>序号</w:t>
            </w:r>
          </w:p>
        </w:tc>
        <w:tc>
          <w:tcPr>
            <w:tcW w:w="1047" w:type="pct"/>
            <w:noWrap w:val="0"/>
            <w:vAlign w:val="center"/>
          </w:tcPr>
          <w:p>
            <w:pPr>
              <w:spacing w:line="400" w:lineRule="exact"/>
              <w:jc w:val="center"/>
              <w:rPr>
                <w:rFonts w:hint="eastAsia" w:cs="仿宋_GB2312"/>
                <w:b/>
                <w:bCs/>
                <w:sz w:val="28"/>
                <w:szCs w:val="28"/>
              </w:rPr>
            </w:pPr>
            <w:r>
              <w:rPr>
                <w:rFonts w:hint="eastAsia" w:cs="仿宋_GB2312"/>
                <w:b/>
                <w:bCs/>
                <w:sz w:val="28"/>
                <w:szCs w:val="28"/>
              </w:rPr>
              <w:t>案例名称</w:t>
            </w:r>
          </w:p>
        </w:tc>
        <w:tc>
          <w:tcPr>
            <w:tcW w:w="3670" w:type="pct"/>
            <w:noWrap w:val="0"/>
            <w:vAlign w:val="center"/>
          </w:tcPr>
          <w:p>
            <w:pPr>
              <w:spacing w:line="400" w:lineRule="exact"/>
              <w:jc w:val="center"/>
              <w:rPr>
                <w:rFonts w:hint="eastAsia" w:cs="仿宋_GB2312"/>
                <w:b/>
                <w:bCs/>
                <w:sz w:val="28"/>
                <w:szCs w:val="28"/>
              </w:rPr>
            </w:pPr>
            <w:r>
              <w:rPr>
                <w:rFonts w:hint="eastAsia" w:cs="仿宋_GB2312"/>
                <w:b/>
                <w:bCs/>
                <w:sz w:val="28"/>
                <w:szCs w:val="28"/>
              </w:rPr>
              <w:t>案例摘要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cs="仿宋_GB2312"/>
                <w:sz w:val="28"/>
                <w:szCs w:val="28"/>
              </w:rPr>
            </w:pPr>
            <w:bookmarkStart w:id="0" w:name="OLE_LINK3" w:colFirst="1" w:colLast="2"/>
            <w:r>
              <w:rPr>
                <w:rFonts w:hint="eastAsia" w:cs="仿宋_GB2312"/>
                <w:sz w:val="28"/>
                <w:szCs w:val="28"/>
              </w:rPr>
              <w:t>1</w:t>
            </w:r>
          </w:p>
        </w:tc>
        <w:tc>
          <w:tcPr>
            <w:tcW w:w="1047" w:type="pct"/>
            <w:noWrap w:val="0"/>
            <w:vAlign w:val="center"/>
          </w:tcPr>
          <w:p>
            <w:pPr>
              <w:spacing w:line="400" w:lineRule="exact"/>
              <w:jc w:val="left"/>
              <w:rPr>
                <w:rFonts w:hint="eastAsia" w:cs="仿宋_GB2312"/>
                <w:sz w:val="28"/>
                <w:szCs w:val="28"/>
              </w:rPr>
            </w:pPr>
            <w:r>
              <w:rPr>
                <w:rFonts w:hint="eastAsia" w:cs="仿宋_GB2312"/>
                <w:sz w:val="28"/>
                <w:szCs w:val="28"/>
              </w:rPr>
              <w:t>构建“成果超市”，驱动知识产权高效转移转化</w:t>
            </w:r>
          </w:p>
        </w:tc>
        <w:tc>
          <w:tcPr>
            <w:tcW w:w="3670" w:type="pct"/>
            <w:noWrap w:val="0"/>
            <w:vAlign w:val="center"/>
          </w:tcPr>
          <w:p>
            <w:pPr>
              <w:spacing w:line="400" w:lineRule="exact"/>
              <w:rPr>
                <w:rFonts w:hint="eastAsia" w:cs="仿宋_GB2312"/>
                <w:sz w:val="28"/>
                <w:szCs w:val="28"/>
              </w:rPr>
            </w:pPr>
            <w:r>
              <w:rPr>
                <w:rFonts w:hint="eastAsia" w:cs="仿宋_GB2312"/>
                <w:sz w:val="28"/>
                <w:szCs w:val="28"/>
              </w:rPr>
              <w:t>中国科学院深圳先进技术研究院创新“成果超市”形态，将知识产权制作成可视化卡片，直观呈现技术价值，实现从“被动推介”向“主动吸引”的转变，融合“订单式研发”合作机制，定向创造高质量专利或专利族，整合政策、资本、知识产权、人才和市场资源，搭建知识产权关键要素协同运营场景，让知识产权转移转化提速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cs="仿宋_GB2312"/>
                <w:sz w:val="28"/>
                <w:szCs w:val="28"/>
              </w:rPr>
            </w:pPr>
            <w:r>
              <w:rPr>
                <w:rFonts w:hint="eastAsia" w:cs="仿宋_GB2312"/>
                <w:sz w:val="28"/>
                <w:szCs w:val="28"/>
              </w:rPr>
              <w:t>2</w:t>
            </w:r>
          </w:p>
        </w:tc>
        <w:tc>
          <w:tcPr>
            <w:tcW w:w="1047" w:type="pct"/>
            <w:noWrap w:val="0"/>
            <w:vAlign w:val="center"/>
          </w:tcPr>
          <w:p>
            <w:pPr>
              <w:spacing w:line="400" w:lineRule="exact"/>
              <w:jc w:val="left"/>
              <w:rPr>
                <w:rFonts w:hint="eastAsia" w:cs="仿宋_GB2312"/>
                <w:sz w:val="28"/>
                <w:szCs w:val="28"/>
              </w:rPr>
            </w:pPr>
            <w:r>
              <w:rPr>
                <w:rFonts w:hint="eastAsia" w:cs="仿宋_GB2312"/>
                <w:sz w:val="28"/>
                <w:szCs w:val="28"/>
              </w:rPr>
              <w:t>用好存量专利盘活系统，构建开放协同、运行高效的全链条专利转化运用生态</w:t>
            </w:r>
          </w:p>
        </w:tc>
        <w:tc>
          <w:tcPr>
            <w:tcW w:w="3670" w:type="pct"/>
            <w:noWrap w:val="0"/>
            <w:vAlign w:val="center"/>
          </w:tcPr>
          <w:p>
            <w:pPr>
              <w:spacing w:line="400" w:lineRule="exact"/>
              <w:rPr>
                <w:rFonts w:hint="eastAsia" w:cs="仿宋_GB2312"/>
                <w:sz w:val="28"/>
                <w:szCs w:val="28"/>
              </w:rPr>
            </w:pPr>
            <w:r>
              <w:rPr>
                <w:rFonts w:hint="eastAsia" w:cs="仿宋_GB2312"/>
                <w:sz w:val="28"/>
                <w:szCs w:val="28"/>
              </w:rPr>
              <w:t>深圳市世纪恒程知识产权代理事务所积极服务高校和科研机构开展专利盘点工作，以存量专利盘活系统数据为基础，结合地区战略性产业集群的重点研发方向，开展重点产业专利导航，构建垂直领域专利技术需求图谱，组织开展供需对接系列活动。串联概念验证中心、中小试基地、评估机构、投融资机构等，搭建具有地区产业特色的“产学研金服”转化服务平台，实现从技术挖掘到市场推广的全流程产业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val="en-US" w:eastAsia="zh-CN"/>
              </w:rPr>
              <w:t>3</w:t>
            </w:r>
          </w:p>
        </w:tc>
        <w:tc>
          <w:tcPr>
            <w:tcW w:w="1047" w:type="pct"/>
            <w:noWrap w:val="0"/>
            <w:vAlign w:val="center"/>
          </w:tcPr>
          <w:p>
            <w:pPr>
              <w:spacing w:line="400" w:lineRule="exact"/>
              <w:jc w:val="left"/>
              <w:rPr>
                <w:rFonts w:hint="eastAsia" w:cs="仿宋_GB2312"/>
                <w:sz w:val="28"/>
                <w:szCs w:val="28"/>
              </w:rPr>
            </w:pPr>
            <w:r>
              <w:rPr>
                <w:rFonts w:hint="eastAsia" w:cs="仿宋_GB2312"/>
                <w:sz w:val="28"/>
                <w:szCs w:val="28"/>
              </w:rPr>
              <w:t>构建“1+5”科技成果转化体系，破解</w:t>
            </w:r>
            <w:r>
              <w:rPr>
                <w:rFonts w:hint="eastAsia" w:cs="仿宋_GB2312"/>
                <w:sz w:val="28"/>
                <w:szCs w:val="28"/>
                <w:lang w:eastAsia="zh-CN"/>
              </w:rPr>
              <w:t>高校</w:t>
            </w:r>
            <w:r>
              <w:rPr>
                <w:rFonts w:hint="eastAsia" w:cs="仿宋_GB2312"/>
                <w:sz w:val="28"/>
                <w:szCs w:val="28"/>
              </w:rPr>
              <w:t>专利转化关键堵点</w:t>
            </w:r>
          </w:p>
        </w:tc>
        <w:tc>
          <w:tcPr>
            <w:tcW w:w="3670" w:type="pct"/>
            <w:noWrap w:val="0"/>
            <w:vAlign w:val="center"/>
          </w:tcPr>
          <w:p>
            <w:pPr>
              <w:spacing w:line="400" w:lineRule="exact"/>
              <w:jc w:val="left"/>
              <w:rPr>
                <w:rFonts w:hint="eastAsia" w:cs="仿宋_GB2312"/>
                <w:sz w:val="28"/>
                <w:szCs w:val="28"/>
              </w:rPr>
            </w:pPr>
            <w:r>
              <w:rPr>
                <w:rFonts w:hint="eastAsia" w:cs="仿宋_GB2312"/>
                <w:sz w:val="28"/>
                <w:szCs w:val="28"/>
              </w:rPr>
              <w:t>香港中文大学（深圳）</w:t>
            </w:r>
            <w:r>
              <w:rPr>
                <w:rFonts w:hint="eastAsia" w:cs="仿宋_GB2312"/>
                <w:sz w:val="28"/>
                <w:szCs w:val="28"/>
                <w:lang w:val="en-US" w:eastAsia="zh-CN"/>
              </w:rPr>
              <w:t>构建</w:t>
            </w:r>
            <w:r>
              <w:rPr>
                <w:rFonts w:hint="eastAsia" w:cs="仿宋_GB2312"/>
                <w:sz w:val="28"/>
                <w:szCs w:val="28"/>
              </w:rPr>
              <w:t>“1+5”的科技成果转化制度体系，</w:t>
            </w:r>
            <w:r>
              <w:rPr>
                <w:rFonts w:hint="eastAsia" w:cs="仿宋_GB2312"/>
                <w:sz w:val="28"/>
                <w:szCs w:val="28"/>
                <w:lang w:val="en-US" w:eastAsia="zh-CN"/>
              </w:rPr>
              <w:t>形成</w:t>
            </w:r>
            <w:r>
              <w:rPr>
                <w:rFonts w:hint="eastAsia" w:cs="仿宋_GB2312"/>
                <w:sz w:val="28"/>
                <w:szCs w:val="28"/>
              </w:rPr>
              <w:t>覆盖“创意-研发-转化-产业化”的全链条转化生态，</w:t>
            </w:r>
            <w:r>
              <w:rPr>
                <w:rFonts w:hint="eastAsia" w:cs="仿宋_GB2312"/>
                <w:sz w:val="28"/>
                <w:szCs w:val="28"/>
                <w:lang w:eastAsia="zh-CN"/>
              </w:rPr>
              <w:t>通过</w:t>
            </w:r>
            <w:r>
              <w:rPr>
                <w:rFonts w:hint="eastAsia" w:cs="仿宋_GB2312"/>
                <w:sz w:val="28"/>
                <w:szCs w:val="28"/>
              </w:rPr>
              <w:t>“股权＋现金”全覆盖奖励机制</w:t>
            </w:r>
            <w:r>
              <w:rPr>
                <w:rFonts w:hint="eastAsia" w:cs="仿宋_GB2312"/>
                <w:sz w:val="28"/>
                <w:szCs w:val="28"/>
                <w:lang w:eastAsia="zh-CN"/>
              </w:rPr>
              <w:t>，</w:t>
            </w:r>
            <w:r>
              <w:rPr>
                <w:rFonts w:hint="eastAsia" w:cs="仿宋_GB2312"/>
                <w:sz w:val="28"/>
                <w:szCs w:val="28"/>
              </w:rPr>
              <w:t>激活科研人员积极性，有效破解高校专利转化中“教授不愿、企业不敢、资本不投”的三重壁垒，实现创新链、产业链、资金链、人才链深度融合。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val="en-US" w:eastAsia="zh-CN"/>
              </w:rPr>
              <w:t>4</w:t>
            </w:r>
          </w:p>
        </w:tc>
        <w:tc>
          <w:tcPr>
            <w:tcW w:w="1047"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eastAsia="zh-CN"/>
              </w:rPr>
              <w:t>创新引入</w:t>
            </w:r>
            <w:r>
              <w:rPr>
                <w:rFonts w:hint="eastAsia" w:cs="仿宋_GB2312"/>
                <w:sz w:val="28"/>
                <w:szCs w:val="28"/>
              </w:rPr>
              <w:t>“诉讼转许可”模式，</w:t>
            </w:r>
            <w:r>
              <w:rPr>
                <w:rFonts w:hint="eastAsia" w:hAnsi="Times New Roman"/>
                <w:sz w:val="28"/>
                <w:szCs w:val="28"/>
              </w:rPr>
              <w:t>从纠纷对抗</w:t>
            </w:r>
            <w:r>
              <w:rPr>
                <w:rFonts w:hint="eastAsia" w:hAnsi="Times New Roman"/>
                <w:sz w:val="28"/>
                <w:szCs w:val="28"/>
                <w:lang w:eastAsia="zh-CN"/>
              </w:rPr>
              <w:t>转向合</w:t>
            </w:r>
            <w:r>
              <w:rPr>
                <w:rFonts w:hint="eastAsia" w:hAnsi="Times New Roman"/>
                <w:sz w:val="28"/>
                <w:szCs w:val="28"/>
              </w:rPr>
              <w:t>作共赢</w:t>
            </w:r>
          </w:p>
        </w:tc>
        <w:tc>
          <w:tcPr>
            <w:tcW w:w="3670" w:type="pct"/>
            <w:noWrap w:val="0"/>
            <w:vAlign w:val="center"/>
          </w:tcPr>
          <w:p>
            <w:pPr>
              <w:spacing w:line="400" w:lineRule="exact"/>
              <w:jc w:val="left"/>
              <w:rPr>
                <w:rFonts w:hint="eastAsia" w:cs="仿宋_GB2312"/>
                <w:sz w:val="28"/>
                <w:szCs w:val="28"/>
              </w:rPr>
            </w:pPr>
            <w:r>
              <w:rPr>
                <w:rFonts w:hint="eastAsia" w:hAnsi="Times New Roman"/>
                <w:sz w:val="28"/>
                <w:szCs w:val="28"/>
              </w:rPr>
              <w:t>红门智能科技股份有限公司</w:t>
            </w:r>
            <w:r>
              <w:rPr>
                <w:rFonts w:hint="eastAsia" w:cs="仿宋_GB2312"/>
                <w:sz w:val="28"/>
                <w:szCs w:val="28"/>
              </w:rPr>
              <w:t>创新引入“诉讼转许可”模式</w:t>
            </w:r>
            <w:r>
              <w:rPr>
                <w:rFonts w:hint="eastAsia" w:cs="仿宋_GB2312"/>
                <w:sz w:val="28"/>
                <w:szCs w:val="28"/>
                <w:lang w:eastAsia="zh-CN"/>
              </w:rPr>
              <w:t>，</w:t>
            </w:r>
            <w:r>
              <w:rPr>
                <w:rFonts w:hint="eastAsia" w:cs="仿宋_GB2312"/>
                <w:sz w:val="28"/>
                <w:szCs w:val="28"/>
              </w:rPr>
              <w:t>通过系统性证据固定与价值评估，将侵权纠纷转化为商业合作，达成专利许可。不仅快速化解了法律风险，还通过专利技术的合法授权，实现了法律效益与经济效益的双赢。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cs="仿宋_GB2312"/>
                <w:sz w:val="28"/>
                <w:szCs w:val="28"/>
                <w:lang w:val="en-US" w:eastAsia="zh-CN"/>
              </w:rPr>
            </w:pPr>
            <w:r>
              <w:rPr>
                <w:rFonts w:hint="eastAsia" w:cs="仿宋_GB2312"/>
                <w:sz w:val="28"/>
                <w:szCs w:val="28"/>
                <w:lang w:val="en-US" w:eastAsia="zh-CN"/>
              </w:rPr>
              <w:t>5</w:t>
            </w:r>
          </w:p>
        </w:tc>
        <w:tc>
          <w:tcPr>
            <w:tcW w:w="1047" w:type="pct"/>
            <w:noWrap w:val="0"/>
            <w:vAlign w:val="center"/>
          </w:tcPr>
          <w:p>
            <w:pPr>
              <w:spacing w:line="400" w:lineRule="exact"/>
              <w:jc w:val="center"/>
              <w:rPr>
                <w:rFonts w:hint="eastAsia" w:cs="仿宋_GB2312"/>
                <w:sz w:val="28"/>
                <w:szCs w:val="28"/>
              </w:rPr>
            </w:pPr>
            <w:r>
              <w:rPr>
                <w:rFonts w:hint="eastAsia" w:hAnsi="Times New Roman"/>
                <w:sz w:val="28"/>
                <w:szCs w:val="28"/>
              </w:rPr>
              <w:t>探索“先使用后付费”的专利许可模式，推动智能电动汽车技术产业化</w:t>
            </w:r>
          </w:p>
        </w:tc>
        <w:tc>
          <w:tcPr>
            <w:tcW w:w="3670" w:type="pct"/>
            <w:noWrap w:val="0"/>
            <w:vAlign w:val="center"/>
          </w:tcPr>
          <w:p>
            <w:pPr>
              <w:spacing w:line="400" w:lineRule="exact"/>
              <w:jc w:val="left"/>
              <w:rPr>
                <w:rFonts w:hint="eastAsia" w:hAnsi="Times New Roman"/>
                <w:sz w:val="28"/>
                <w:szCs w:val="28"/>
              </w:rPr>
            </w:pPr>
            <w:r>
              <w:rPr>
                <w:rFonts w:hint="eastAsia" w:hAnsi="Times New Roman"/>
                <w:sz w:val="28"/>
                <w:szCs w:val="28"/>
              </w:rPr>
              <w:t>深圳技术大学探索“专利无偿赋权许可、部分收益捐赠学校”的转化模式，突破传统“一次性转让”</w:t>
            </w:r>
            <w:r>
              <w:rPr>
                <w:rFonts w:hint="eastAsia" w:hAnsi="Times New Roman"/>
                <w:sz w:val="28"/>
                <w:szCs w:val="28"/>
                <w:lang w:eastAsia="zh-CN"/>
              </w:rPr>
              <w:t>，</w:t>
            </w:r>
            <w:r>
              <w:rPr>
                <w:rFonts w:hint="eastAsia" w:hAnsi="Times New Roman"/>
                <w:sz w:val="28"/>
                <w:szCs w:val="28"/>
              </w:rPr>
              <w:t>保障了高校科研成果的持续利用，</w:t>
            </w:r>
            <w:r>
              <w:rPr>
                <w:rFonts w:hint="eastAsia" w:hAnsi="Times New Roman"/>
                <w:sz w:val="28"/>
                <w:szCs w:val="28"/>
                <w:lang w:eastAsia="zh-CN"/>
              </w:rPr>
              <w:t>提高了科研团队成果转化的自主决策权，获得</w:t>
            </w:r>
            <w:r>
              <w:rPr>
                <w:rFonts w:hint="eastAsia" w:hAnsi="Times New Roman"/>
                <w:sz w:val="28"/>
                <w:szCs w:val="28"/>
              </w:rPr>
              <w:t>收益回馈，实现</w:t>
            </w:r>
            <w:r>
              <w:rPr>
                <w:rFonts w:hint="eastAsia" w:hAnsi="Times New Roman"/>
                <w:sz w:val="28"/>
                <w:szCs w:val="28"/>
                <w:lang w:eastAsia="zh-CN"/>
              </w:rPr>
              <w:t>了</w:t>
            </w:r>
            <w:r>
              <w:rPr>
                <w:rFonts w:hint="eastAsia" w:hAnsi="Times New Roman"/>
                <w:sz w:val="28"/>
                <w:szCs w:val="28"/>
              </w:rPr>
              <w:t>科研与产业协同发展的良性循环。</w:t>
            </w:r>
            <w:r>
              <w:rPr>
                <w:rFonts w:hint="eastAsia" w:hAnsi="Times New Roman"/>
                <w:sz w:val="28"/>
                <w:szCs w:val="28"/>
                <w:lang w:eastAsia="zh-CN"/>
              </w:rPr>
              <w:t>在该模式下，项目团队不仅</w:t>
            </w:r>
            <w:r>
              <w:rPr>
                <w:rFonts w:hint="eastAsia" w:hAnsi="Times New Roman"/>
                <w:sz w:val="28"/>
                <w:szCs w:val="28"/>
                <w:lang w:val="en-US" w:eastAsia="zh-CN"/>
              </w:rPr>
              <w:t>获得融资，更</w:t>
            </w:r>
            <w:r>
              <w:rPr>
                <w:rFonts w:hint="eastAsia" w:hAnsi="Times New Roman"/>
                <w:sz w:val="28"/>
                <w:szCs w:val="28"/>
              </w:rPr>
              <w:t>与多家单位签订研发订单，技术成果实现规模化市场应用。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val="en-US" w:eastAsia="zh-CN"/>
              </w:rPr>
              <w:t>6</w:t>
            </w:r>
          </w:p>
        </w:tc>
        <w:tc>
          <w:tcPr>
            <w:tcW w:w="1047" w:type="pct"/>
            <w:noWrap w:val="0"/>
            <w:vAlign w:val="center"/>
          </w:tcPr>
          <w:p>
            <w:pPr>
              <w:spacing w:line="400" w:lineRule="exact"/>
              <w:jc w:val="left"/>
              <w:rPr>
                <w:rFonts w:hint="eastAsia" w:hAnsi="Times New Roman"/>
                <w:sz w:val="28"/>
                <w:szCs w:val="28"/>
              </w:rPr>
            </w:pPr>
            <w:r>
              <w:rPr>
                <w:rFonts w:hint="eastAsia" w:cs="仿宋_GB2312"/>
                <w:sz w:val="28"/>
                <w:szCs w:val="28"/>
              </w:rPr>
              <w:t>打造“i知深”综合服务平台，</w:t>
            </w:r>
            <w:r>
              <w:rPr>
                <w:rFonts w:hint="eastAsia" w:cs="仿宋_GB2312"/>
                <w:sz w:val="28"/>
                <w:szCs w:val="28"/>
                <w:highlight w:val="none"/>
                <w:lang w:val="en-US" w:eastAsia="zh-CN"/>
              </w:rPr>
              <w:t>创新专利转化运用</w:t>
            </w:r>
            <w:r>
              <w:rPr>
                <w:rFonts w:hint="eastAsia" w:ascii="仿宋_GB2312" w:hAnsi="仿宋_GB2312" w:eastAsia="仿宋_GB2312" w:cs="仿宋_GB2312"/>
                <w:sz w:val="28"/>
                <w:szCs w:val="28"/>
                <w:highlight w:val="none"/>
                <w:lang w:val="en-US" w:eastAsia="zh-CN"/>
              </w:rPr>
              <w:t>全链条服务模式</w:t>
            </w:r>
          </w:p>
        </w:tc>
        <w:tc>
          <w:tcPr>
            <w:tcW w:w="3670" w:type="pct"/>
            <w:noWrap w:val="0"/>
            <w:vAlign w:val="center"/>
          </w:tcPr>
          <w:p>
            <w:pPr>
              <w:spacing w:line="400" w:lineRule="exact"/>
              <w:rPr>
                <w:rFonts w:hint="eastAsia" w:hAnsi="Times New Roman"/>
                <w:sz w:val="28"/>
                <w:szCs w:val="28"/>
              </w:rPr>
            </w:pPr>
            <w:r>
              <w:rPr>
                <w:rFonts w:hint="eastAsia" w:cs="仿宋_GB2312"/>
                <w:sz w:val="28"/>
                <w:szCs w:val="28"/>
              </w:rPr>
              <w:t>深交所科技成果与知识产权交易中心创新搭建“i知深”知识产权转化运用综合服务平台，打造“成果展示-概念验证-小试中试-金融支撑-供需匹配”等</w:t>
            </w:r>
            <w:r>
              <w:rPr>
                <w:rFonts w:hint="eastAsia" w:cs="仿宋_GB2312"/>
                <w:sz w:val="28"/>
                <w:szCs w:val="28"/>
                <w:lang w:eastAsia="zh-CN"/>
              </w:rPr>
              <w:t>模块</w:t>
            </w:r>
            <w:r>
              <w:rPr>
                <w:rFonts w:hint="eastAsia" w:cs="仿宋_GB2312"/>
                <w:sz w:val="28"/>
                <w:szCs w:val="28"/>
              </w:rPr>
              <w:t>，创新专利转化运用全链条服务模式，推动创新成果从“实验室”向“生产线”快速转化。平台上线推出开放许可专利</w:t>
            </w:r>
            <w:r>
              <w:rPr>
                <w:rFonts w:hint="eastAsia" w:cs="仿宋_GB2312"/>
                <w:sz w:val="28"/>
                <w:szCs w:val="28"/>
                <w:lang w:val="en-US" w:eastAsia="zh-CN"/>
              </w:rPr>
              <w:t>5</w:t>
            </w:r>
            <w:r>
              <w:rPr>
                <w:rFonts w:hint="eastAsia" w:cs="仿宋_GB2312"/>
                <w:sz w:val="28"/>
                <w:szCs w:val="28"/>
              </w:rPr>
              <w:t>00余件，</w:t>
            </w:r>
            <w:r>
              <w:rPr>
                <w:rFonts w:hint="eastAsia" w:ascii="仿宋_GB2312" w:hAnsi="仿宋_GB2312" w:eastAsia="仿宋_GB2312" w:cs="仿宋_GB2312"/>
                <w:kern w:val="0"/>
                <w:sz w:val="28"/>
                <w:szCs w:val="28"/>
                <w:highlight w:val="none"/>
                <w:lang w:val="en-US" w:eastAsia="zh-CN" w:bidi="ar-SA"/>
              </w:rPr>
              <w:t>引入中小试基地和概念验证中心1</w:t>
            </w:r>
            <w:r>
              <w:rPr>
                <w:rFonts w:hint="eastAsia" w:cs="仿宋_GB2312"/>
                <w:kern w:val="0"/>
                <w:sz w:val="28"/>
                <w:szCs w:val="28"/>
                <w:highlight w:val="none"/>
                <w:lang w:val="en-US" w:eastAsia="zh-CN" w:bidi="ar-SA"/>
              </w:rPr>
              <w:t>00余</w:t>
            </w:r>
            <w:r>
              <w:rPr>
                <w:rFonts w:hint="eastAsia" w:ascii="仿宋_GB2312" w:hAnsi="仿宋_GB2312" w:eastAsia="仿宋_GB2312" w:cs="仿宋_GB2312"/>
                <w:kern w:val="0"/>
                <w:sz w:val="28"/>
                <w:szCs w:val="28"/>
                <w:highlight w:val="none"/>
                <w:lang w:val="en-US" w:eastAsia="zh-CN" w:bidi="ar-SA"/>
              </w:rPr>
              <w:t>家</w:t>
            </w:r>
            <w:r>
              <w:rPr>
                <w:rFonts w:hint="eastAsia" w:cs="仿宋_GB2312"/>
                <w:kern w:val="0"/>
                <w:sz w:val="28"/>
                <w:szCs w:val="28"/>
                <w:highlight w:val="none"/>
                <w:lang w:val="en-US" w:eastAsia="zh-CN" w:bidi="ar-SA"/>
              </w:rPr>
              <w:t>、投资机构20余家，</w:t>
            </w:r>
            <w:r>
              <w:rPr>
                <w:rFonts w:hint="eastAsia" w:cs="仿宋_GB2312"/>
                <w:sz w:val="28"/>
                <w:szCs w:val="28"/>
              </w:rPr>
              <w:t>助力专利产业化。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val="en-US" w:eastAsia="zh-CN"/>
              </w:rPr>
              <w:t>7</w:t>
            </w:r>
          </w:p>
        </w:tc>
        <w:tc>
          <w:tcPr>
            <w:tcW w:w="1047" w:type="pct"/>
            <w:noWrap w:val="0"/>
            <w:vAlign w:val="center"/>
          </w:tcPr>
          <w:p>
            <w:pPr>
              <w:spacing w:line="400" w:lineRule="exact"/>
              <w:jc w:val="left"/>
              <w:rPr>
                <w:rFonts w:hint="eastAsia" w:eastAsia="仿宋_GB2312" w:cs="仿宋_GB2312"/>
                <w:sz w:val="28"/>
                <w:szCs w:val="28"/>
                <w:lang w:eastAsia="zh-CN"/>
              </w:rPr>
            </w:pPr>
            <w:r>
              <w:rPr>
                <w:rFonts w:hint="eastAsia" w:cs="仿宋_GB2312"/>
                <w:sz w:val="28"/>
                <w:szCs w:val="28"/>
              </w:rPr>
              <w:t>优化收益激励机制，</w:t>
            </w:r>
            <w:r>
              <w:rPr>
                <w:rFonts w:hint="eastAsia" w:cs="仿宋_GB2312"/>
                <w:sz w:val="28"/>
                <w:szCs w:val="28"/>
                <w:lang w:eastAsia="zh-CN"/>
              </w:rPr>
              <w:t>促进低空经济产业发展</w:t>
            </w:r>
          </w:p>
        </w:tc>
        <w:tc>
          <w:tcPr>
            <w:tcW w:w="3670" w:type="pct"/>
            <w:noWrap w:val="0"/>
            <w:vAlign w:val="center"/>
          </w:tcPr>
          <w:p>
            <w:pPr>
              <w:spacing w:line="400" w:lineRule="exact"/>
              <w:rPr>
                <w:rFonts w:hint="eastAsia" w:cs="仿宋_GB2312"/>
                <w:sz w:val="28"/>
                <w:szCs w:val="28"/>
              </w:rPr>
            </w:pPr>
            <w:r>
              <w:rPr>
                <w:rFonts w:hint="eastAsia" w:cs="仿宋_GB2312"/>
                <w:sz w:val="28"/>
                <w:szCs w:val="28"/>
              </w:rPr>
              <w:t>深圳大学采取知识产权作价入股的方式，</w:t>
            </w:r>
            <w:r>
              <w:rPr>
                <w:rFonts w:hint="eastAsia" w:cs="仿宋_GB2312"/>
                <w:sz w:val="28"/>
                <w:szCs w:val="28"/>
                <w:lang w:eastAsia="zh-CN"/>
              </w:rPr>
              <w:t>将</w:t>
            </w:r>
            <w:r>
              <w:rPr>
                <w:rFonts w:hint="eastAsia" w:cs="仿宋_GB2312"/>
                <w:sz w:val="28"/>
                <w:szCs w:val="28"/>
              </w:rPr>
              <w:t>核心发明专利通过第三方评估作价</w:t>
            </w:r>
            <w:r>
              <w:rPr>
                <w:rFonts w:hint="eastAsia" w:cs="仿宋_GB2312"/>
                <w:sz w:val="28"/>
                <w:szCs w:val="28"/>
                <w:lang w:eastAsia="zh-CN"/>
              </w:rPr>
              <w:t>后</w:t>
            </w:r>
            <w:r>
              <w:rPr>
                <w:rFonts w:hint="eastAsia" w:cs="仿宋_GB2312"/>
                <w:sz w:val="28"/>
                <w:szCs w:val="28"/>
              </w:rPr>
              <w:t>，注入发明人团队创办的企业，85%的收益奖励给发明人团队，</w:t>
            </w:r>
            <w:r>
              <w:rPr>
                <w:rFonts w:hint="eastAsia" w:cs="仿宋_GB2312"/>
                <w:sz w:val="28"/>
                <w:szCs w:val="28"/>
                <w:lang w:eastAsia="zh-CN"/>
              </w:rPr>
              <w:t>使“技术开发者”转变为“创业者”，不仅极大激发了科研人员积极性，并</w:t>
            </w:r>
            <w:r>
              <w:rPr>
                <w:rFonts w:hint="eastAsia" w:cs="仿宋_GB2312"/>
                <w:sz w:val="28"/>
                <w:szCs w:val="28"/>
              </w:rPr>
              <w:t>且以市场实际需求牵引技术研发迭代，加速专利成果从实验室到产业化、市场化的过程</w:t>
            </w:r>
            <w:r>
              <w:rPr>
                <w:rFonts w:hint="eastAsia"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val="en-US" w:eastAsia="zh-CN"/>
              </w:rPr>
            </w:pPr>
            <w:r>
              <w:rPr>
                <w:rFonts w:hint="eastAsia" w:cs="仿宋_GB2312"/>
                <w:sz w:val="28"/>
                <w:szCs w:val="28"/>
                <w:lang w:val="en-US" w:eastAsia="zh-CN"/>
              </w:rPr>
              <w:t>8</w:t>
            </w:r>
          </w:p>
        </w:tc>
        <w:tc>
          <w:tcPr>
            <w:tcW w:w="1047" w:type="pct"/>
            <w:noWrap w:val="0"/>
            <w:vAlign w:val="center"/>
          </w:tcPr>
          <w:p>
            <w:pPr>
              <w:spacing w:line="400" w:lineRule="exact"/>
              <w:jc w:val="left"/>
              <w:rPr>
                <w:rFonts w:hint="eastAsia" w:hAnsi="Times New Roman"/>
                <w:sz w:val="28"/>
                <w:szCs w:val="28"/>
              </w:rPr>
            </w:pPr>
            <w:r>
              <w:rPr>
                <w:rFonts w:hint="eastAsia" w:cs="仿宋_GB2312"/>
                <w:sz w:val="28"/>
                <w:szCs w:val="28"/>
                <w:lang w:eastAsia="zh-CN"/>
              </w:rPr>
              <w:t>成立</w:t>
            </w:r>
            <w:r>
              <w:rPr>
                <w:rFonts w:hint="eastAsia" w:cs="仿宋_GB2312"/>
                <w:sz w:val="28"/>
                <w:szCs w:val="28"/>
              </w:rPr>
              <w:t>知识产权产业创新联合体，</w:t>
            </w:r>
            <w:r>
              <w:rPr>
                <w:rFonts w:hint="eastAsia" w:cs="仿宋_GB2312"/>
                <w:sz w:val="28"/>
                <w:szCs w:val="28"/>
                <w:lang w:eastAsia="zh-CN"/>
              </w:rPr>
              <w:t>促进</w:t>
            </w:r>
            <w:r>
              <w:rPr>
                <w:rFonts w:hint="eastAsia" w:cs="仿宋_GB2312"/>
                <w:sz w:val="28"/>
                <w:szCs w:val="28"/>
              </w:rPr>
              <w:t>新能源汽车产业强链增效</w:t>
            </w:r>
          </w:p>
        </w:tc>
        <w:tc>
          <w:tcPr>
            <w:tcW w:w="3670" w:type="pct"/>
            <w:noWrap w:val="0"/>
            <w:vAlign w:val="center"/>
          </w:tcPr>
          <w:p>
            <w:pPr>
              <w:spacing w:line="400" w:lineRule="exact"/>
              <w:rPr>
                <w:rFonts w:hint="eastAsia" w:hAnsi="Times New Roman"/>
                <w:sz w:val="28"/>
                <w:szCs w:val="28"/>
              </w:rPr>
            </w:pPr>
            <w:r>
              <w:rPr>
                <w:rFonts w:hint="eastAsia" w:cs="仿宋_GB2312"/>
                <w:sz w:val="28"/>
                <w:szCs w:val="28"/>
              </w:rPr>
              <w:t>北京理工大学深圳汽车研究院依托智能电动车辆产业知识产权运营中心，以新能源汽车产业知识产权创新联合体为抓手，联合产业链上下游企业成立20余家联合创新实验室，建立专利技术概念验证中心，初步形成了“政-产-学-研-企-资-服”专利产业化生态</w:t>
            </w:r>
            <w:r>
              <w:rPr>
                <w:rFonts w:hint="eastAsia" w:cs="仿宋_GB2312"/>
                <w:sz w:val="28"/>
                <w:szCs w:val="28"/>
                <w:lang w:eastAsia="zh-CN"/>
              </w:rPr>
              <w:t>。</w:t>
            </w:r>
            <w:r>
              <w:rPr>
                <w:rFonts w:hint="eastAsia" w:cs="仿宋_GB2312"/>
                <w:sz w:val="28"/>
                <w:szCs w:val="28"/>
                <w:lang w:val="en-US" w:eastAsia="zh-CN"/>
              </w:rPr>
              <w:t>初步</w:t>
            </w:r>
            <w:r>
              <w:rPr>
                <w:rFonts w:hint="eastAsia" w:cs="仿宋_GB2312"/>
                <w:sz w:val="28"/>
                <w:szCs w:val="28"/>
              </w:rPr>
              <w:t>解决了原始创新专利与产业化需求脱节、专利技术产业化迭代效能不高等行业痛点问题，助力新能源汽车产业专利技术快速由实验室走向市场。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lang w:val="en-US" w:eastAsia="zh-CN"/>
              </w:rPr>
              <w:t>9</w:t>
            </w:r>
          </w:p>
        </w:tc>
        <w:tc>
          <w:tcPr>
            <w:tcW w:w="1047" w:type="pct"/>
            <w:noWrap w:val="0"/>
            <w:vAlign w:val="center"/>
          </w:tcPr>
          <w:p>
            <w:pPr>
              <w:spacing w:line="400" w:lineRule="exact"/>
              <w:jc w:val="center"/>
              <w:rPr>
                <w:rFonts w:hint="eastAsia" w:cs="仿宋_GB2312"/>
                <w:sz w:val="28"/>
                <w:szCs w:val="28"/>
              </w:rPr>
            </w:pPr>
            <w:r>
              <w:rPr>
                <w:rFonts w:hint="eastAsia" w:hAnsi="Times New Roman"/>
                <w:sz w:val="28"/>
                <w:szCs w:val="28"/>
              </w:rPr>
              <w:t>专利转化运用破解城市</w:t>
            </w:r>
            <w:r>
              <w:rPr>
                <w:rFonts w:hint="eastAsia" w:hAnsi="Times New Roman"/>
                <w:sz w:val="28"/>
                <w:szCs w:val="28"/>
                <w:lang w:val="en-US" w:eastAsia="zh-CN"/>
              </w:rPr>
              <w:t>停车</w:t>
            </w:r>
            <w:r>
              <w:rPr>
                <w:rFonts w:hint="eastAsia" w:hAnsi="Times New Roman"/>
                <w:sz w:val="28"/>
                <w:szCs w:val="28"/>
              </w:rPr>
              <w:t>充电难题，引领智慧</w:t>
            </w:r>
            <w:r>
              <w:rPr>
                <w:rFonts w:hint="eastAsia" w:hAnsi="Times New Roman"/>
                <w:sz w:val="28"/>
                <w:szCs w:val="28"/>
                <w:lang w:val="en-US" w:eastAsia="zh-CN"/>
              </w:rPr>
              <w:t>交通</w:t>
            </w:r>
            <w:r>
              <w:rPr>
                <w:rFonts w:hint="eastAsia" w:hAnsi="Times New Roman"/>
                <w:sz w:val="28"/>
                <w:szCs w:val="28"/>
              </w:rPr>
              <w:t>新基建产业化</w:t>
            </w:r>
          </w:p>
        </w:tc>
        <w:tc>
          <w:tcPr>
            <w:tcW w:w="3670" w:type="pct"/>
            <w:noWrap w:val="0"/>
            <w:vAlign w:val="center"/>
          </w:tcPr>
          <w:p>
            <w:pPr>
              <w:spacing w:line="400" w:lineRule="exact"/>
              <w:jc w:val="left"/>
              <w:rPr>
                <w:rFonts w:hint="eastAsia" w:cs="仿宋_GB2312"/>
                <w:sz w:val="28"/>
                <w:szCs w:val="28"/>
              </w:rPr>
            </w:pPr>
            <w:r>
              <w:rPr>
                <w:rFonts w:hint="eastAsia" w:hAnsi="Times New Roman"/>
                <w:sz w:val="28"/>
                <w:szCs w:val="28"/>
              </w:rPr>
              <w:t>中建科工集团智慧停车科技有限公司聚焦“停充储一体化”智能立体车库产品，构建涵盖AGV自动搬运、兆瓦级液冷超级快充、智慧调度等核心技术的专利群，将专利技术作为产品落地的核心支撑，驱动智能停车充电领域实现突破性增长，核心专利转化率达85%以上，实现“专利研发-技术转化-产品落地”的闭环推进</w:t>
            </w:r>
            <w:r>
              <w:rPr>
                <w:rFonts w:hint="eastAsia" w:hAnsi="Times New Roman"/>
                <w:sz w:val="28"/>
                <w:szCs w:val="28"/>
                <w:lang w:eastAsia="zh-CN"/>
              </w:rPr>
              <w:t>，</w:t>
            </w:r>
            <w:r>
              <w:rPr>
                <w:rFonts w:hint="eastAsia" w:hAnsi="Times New Roman"/>
                <w:sz w:val="28"/>
                <w:szCs w:val="28"/>
              </w:rPr>
              <w:t>专利技术产品销售收入</w:t>
            </w:r>
            <w:r>
              <w:rPr>
                <w:rFonts w:hint="eastAsia" w:hAnsi="Times New Roman"/>
                <w:sz w:val="28"/>
                <w:szCs w:val="28"/>
                <w:lang w:eastAsia="zh-CN"/>
              </w:rPr>
              <w:t>效益显著</w:t>
            </w:r>
            <w:r>
              <w:rPr>
                <w:rFonts w:hint="eastAsia" w:hAnsi="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 w:type="pct"/>
            <w:noWrap w:val="0"/>
            <w:vAlign w:val="center"/>
          </w:tcPr>
          <w:p>
            <w:pPr>
              <w:spacing w:line="400" w:lineRule="exact"/>
              <w:jc w:val="center"/>
              <w:rPr>
                <w:rFonts w:hint="eastAsia" w:eastAsia="仿宋_GB2312" w:cs="仿宋_GB2312"/>
                <w:sz w:val="28"/>
                <w:szCs w:val="28"/>
                <w:lang w:eastAsia="zh-CN"/>
              </w:rPr>
            </w:pPr>
            <w:r>
              <w:rPr>
                <w:rFonts w:hint="eastAsia" w:cs="仿宋_GB2312"/>
                <w:sz w:val="28"/>
                <w:szCs w:val="28"/>
              </w:rPr>
              <w:t>1</w:t>
            </w:r>
            <w:r>
              <w:rPr>
                <w:rFonts w:hint="eastAsia" w:cs="仿宋_GB2312"/>
                <w:sz w:val="28"/>
                <w:szCs w:val="28"/>
                <w:lang w:val="en-US" w:eastAsia="zh-CN"/>
              </w:rPr>
              <w:t>0</w:t>
            </w:r>
          </w:p>
        </w:tc>
        <w:tc>
          <w:tcPr>
            <w:tcW w:w="1047" w:type="pct"/>
            <w:noWrap w:val="0"/>
            <w:vAlign w:val="center"/>
          </w:tcPr>
          <w:p>
            <w:pPr>
              <w:spacing w:line="400" w:lineRule="exact"/>
              <w:jc w:val="left"/>
              <w:rPr>
                <w:rFonts w:hint="eastAsia" w:eastAsia="仿宋_GB2312" w:cs="仿宋_GB2312"/>
                <w:sz w:val="28"/>
                <w:szCs w:val="28"/>
                <w:lang w:eastAsia="zh-CN"/>
              </w:rPr>
            </w:pPr>
            <w:r>
              <w:rPr>
                <w:rFonts w:hint="eastAsia" w:cs="仿宋_GB2312"/>
                <w:sz w:val="28"/>
                <w:szCs w:val="28"/>
              </w:rPr>
              <w:t>专利技术产业化与价值链重塑，</w:t>
            </w:r>
            <w:r>
              <w:rPr>
                <w:rFonts w:hint="eastAsia" w:cs="仿宋_GB2312"/>
                <w:sz w:val="28"/>
                <w:szCs w:val="28"/>
                <w:lang w:eastAsia="zh-CN"/>
              </w:rPr>
              <w:t>助力</w:t>
            </w:r>
            <w:r>
              <w:rPr>
                <w:rFonts w:hint="eastAsia" w:cs="仿宋_GB2312"/>
                <w:sz w:val="28"/>
                <w:szCs w:val="28"/>
              </w:rPr>
              <w:t>专利</w:t>
            </w:r>
            <w:r>
              <w:rPr>
                <w:rFonts w:hint="eastAsia" w:cs="仿宋_GB2312"/>
                <w:sz w:val="28"/>
                <w:szCs w:val="28"/>
                <w:lang w:eastAsia="zh-CN"/>
              </w:rPr>
              <w:t>产业化</w:t>
            </w:r>
          </w:p>
        </w:tc>
        <w:tc>
          <w:tcPr>
            <w:tcW w:w="3670" w:type="pct"/>
            <w:noWrap w:val="0"/>
            <w:vAlign w:val="center"/>
          </w:tcPr>
          <w:p>
            <w:pPr>
              <w:spacing w:line="400" w:lineRule="exact"/>
              <w:rPr>
                <w:rFonts w:hint="eastAsia" w:eastAsia="仿宋_GB2312" w:cs="仿宋_GB2312"/>
                <w:sz w:val="28"/>
                <w:szCs w:val="28"/>
                <w:lang w:eastAsia="zh-CN"/>
              </w:rPr>
            </w:pPr>
            <w:r>
              <w:rPr>
                <w:rFonts w:hint="eastAsia" w:cs="仿宋_GB2312"/>
                <w:sz w:val="28"/>
                <w:szCs w:val="28"/>
              </w:rPr>
              <w:t>深圳市研一新材料有限责任公司坚持“技术专利化、专利产品化”的路径，将核心专利技术成功转化为千吨级量产产品，不仅</w:t>
            </w:r>
            <w:r>
              <w:rPr>
                <w:rFonts w:hint="eastAsia" w:cs="仿宋_GB2312"/>
                <w:sz w:val="28"/>
                <w:szCs w:val="28"/>
                <w:lang w:eastAsia="zh-CN"/>
              </w:rPr>
              <w:t>实现关键材料技术“硬核突破”</w:t>
            </w:r>
            <w:r>
              <w:rPr>
                <w:rFonts w:hint="eastAsia" w:cs="仿宋_GB2312"/>
                <w:sz w:val="28"/>
                <w:szCs w:val="28"/>
              </w:rPr>
              <w:t>，</w:t>
            </w:r>
            <w:r>
              <w:rPr>
                <w:rFonts w:hint="eastAsia" w:cs="仿宋_GB2312"/>
                <w:sz w:val="28"/>
                <w:szCs w:val="28"/>
                <w:lang w:eastAsia="zh-CN"/>
              </w:rPr>
              <w:t>更为链上企业</w:t>
            </w:r>
            <w:r>
              <w:rPr>
                <w:rFonts w:hint="eastAsia" w:cs="仿宋_GB2312"/>
                <w:sz w:val="28"/>
                <w:szCs w:val="28"/>
              </w:rPr>
              <w:t>降低30%以上</w:t>
            </w:r>
            <w:r>
              <w:rPr>
                <w:rFonts w:hint="eastAsia" w:cs="仿宋_GB2312"/>
                <w:sz w:val="28"/>
                <w:szCs w:val="28"/>
                <w:lang w:eastAsia="zh-CN"/>
              </w:rPr>
              <w:t>的储存和运输成本</w:t>
            </w:r>
            <w:r>
              <w:rPr>
                <w:rFonts w:hint="eastAsia" w:cs="仿宋_GB2312"/>
                <w:sz w:val="28"/>
                <w:szCs w:val="28"/>
              </w:rPr>
              <w:t>，</w:t>
            </w:r>
            <w:r>
              <w:rPr>
                <w:rFonts w:hint="eastAsia" w:cs="仿宋_GB2312"/>
                <w:sz w:val="28"/>
                <w:szCs w:val="28"/>
                <w:lang w:eastAsia="zh-CN"/>
              </w:rPr>
              <w:t>产品海外出口优势明显，有效增强我国锂电材料产业链竞争力与供应链韧性。</w:t>
            </w:r>
          </w:p>
        </w:tc>
      </w:tr>
      <w:bookmarkEnd w:id="0"/>
    </w:tbl>
    <w:p>
      <w:pPr>
        <w:tabs>
          <w:tab w:val="left" w:pos="2410"/>
        </w:tabs>
        <w:rPr>
          <w:rFonts w:hint="eastAsia"/>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6840" w:h="11907" w:orient="landscape"/>
      <w:pgMar w:top="1588" w:right="2155" w:bottom="1474" w:left="1985" w:header="851" w:footer="1418" w:gutter="0"/>
      <w:cols w:space="720" w:num="1"/>
      <w:docGrid w:type="lines" w:linePitch="437" w:charSpace="6385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Tahoma">
    <w:altName w:val="DejaVu Sans"/>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0"/>
        <w:rFonts w:hint="eastAsia" w:ascii="宋体" w:hAnsi="宋体"/>
        <w:sz w:val="28"/>
        <w:szCs w:val="28"/>
      </w:rPr>
    </w:pPr>
    <w:r>
      <w:rPr>
        <w:rFonts w:hint="eastAsia" w:hAnsi="宋体"/>
        <w:sz w:val="28"/>
        <w:szCs w:val="28"/>
        <w:lang w:val="zh-CN"/>
      </w:rPr>
      <w:t>—</w:t>
    </w: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lang/>
      </w:rPr>
      <w:t>2</w:t>
    </w:r>
    <w:r>
      <w:rPr>
        <w:rStyle w:val="10"/>
        <w:rFonts w:ascii="宋体" w:hAnsi="宋体"/>
        <w:sz w:val="28"/>
        <w:szCs w:val="28"/>
      </w:rPr>
      <w:fldChar w:fldCharType="end"/>
    </w:r>
    <w:r>
      <w:rPr>
        <w:rStyle w:val="10"/>
        <w:rFonts w:hint="eastAsia" w:ascii="宋体" w:hAnsi="宋体"/>
        <w:sz w:val="28"/>
        <w:szCs w:val="28"/>
      </w:rPr>
      <w:t xml:space="preserve"> </w:t>
    </w:r>
    <w:r>
      <w:rPr>
        <w:rFonts w:hint="eastAsia" w:hAnsi="宋体"/>
        <w:sz w:val="28"/>
        <w:szCs w:val="28"/>
        <w:lang w:val="zh-CN"/>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6"/>
  <w:drawingGridVerticalSpacing w:val="437"/>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 w:name="KSO_WPS_MARK_KEY" w:val="3c947724-ed6b-435b-acfa-b209b9109f88"/>
  </w:docVars>
  <w:rsids>
    <w:rsidRoot w:val="004A431E"/>
    <w:rsid w:val="00000DC4"/>
    <w:rsid w:val="00012736"/>
    <w:rsid w:val="000311D9"/>
    <w:rsid w:val="00040852"/>
    <w:rsid w:val="000658E2"/>
    <w:rsid w:val="000C5727"/>
    <w:rsid w:val="000F368A"/>
    <w:rsid w:val="0011639B"/>
    <w:rsid w:val="00122014"/>
    <w:rsid w:val="001259CD"/>
    <w:rsid w:val="00141D2F"/>
    <w:rsid w:val="00144932"/>
    <w:rsid w:val="00150521"/>
    <w:rsid w:val="0017687D"/>
    <w:rsid w:val="00185828"/>
    <w:rsid w:val="001976E7"/>
    <w:rsid w:val="001A1EC7"/>
    <w:rsid w:val="001D47A0"/>
    <w:rsid w:val="001F18D5"/>
    <w:rsid w:val="00222ADC"/>
    <w:rsid w:val="0025765C"/>
    <w:rsid w:val="002672BB"/>
    <w:rsid w:val="00280157"/>
    <w:rsid w:val="00280ECF"/>
    <w:rsid w:val="0028557B"/>
    <w:rsid w:val="0029304E"/>
    <w:rsid w:val="002C40EF"/>
    <w:rsid w:val="002C7B98"/>
    <w:rsid w:val="002D6678"/>
    <w:rsid w:val="002E3F16"/>
    <w:rsid w:val="002F21E9"/>
    <w:rsid w:val="002F545F"/>
    <w:rsid w:val="003026B1"/>
    <w:rsid w:val="003063CF"/>
    <w:rsid w:val="003141C2"/>
    <w:rsid w:val="00342DF2"/>
    <w:rsid w:val="00362BE1"/>
    <w:rsid w:val="00365A17"/>
    <w:rsid w:val="00374DC4"/>
    <w:rsid w:val="0039572D"/>
    <w:rsid w:val="003A41AF"/>
    <w:rsid w:val="003C57B9"/>
    <w:rsid w:val="003D2E7B"/>
    <w:rsid w:val="003E10D6"/>
    <w:rsid w:val="003F3017"/>
    <w:rsid w:val="004479E5"/>
    <w:rsid w:val="00476DFF"/>
    <w:rsid w:val="004973AE"/>
    <w:rsid w:val="004A431E"/>
    <w:rsid w:val="004A7D3A"/>
    <w:rsid w:val="00512A0D"/>
    <w:rsid w:val="00517FD6"/>
    <w:rsid w:val="005250F8"/>
    <w:rsid w:val="00540DF8"/>
    <w:rsid w:val="00541630"/>
    <w:rsid w:val="00561B53"/>
    <w:rsid w:val="00572E8E"/>
    <w:rsid w:val="00584586"/>
    <w:rsid w:val="00594BF8"/>
    <w:rsid w:val="005F0B20"/>
    <w:rsid w:val="006553AB"/>
    <w:rsid w:val="0066105A"/>
    <w:rsid w:val="006760AE"/>
    <w:rsid w:val="00687F51"/>
    <w:rsid w:val="006C3D32"/>
    <w:rsid w:val="006D3AA1"/>
    <w:rsid w:val="006E186F"/>
    <w:rsid w:val="006E701D"/>
    <w:rsid w:val="006F4546"/>
    <w:rsid w:val="00711183"/>
    <w:rsid w:val="00714F42"/>
    <w:rsid w:val="007400FF"/>
    <w:rsid w:val="00770418"/>
    <w:rsid w:val="00796921"/>
    <w:rsid w:val="007A4CF6"/>
    <w:rsid w:val="007C3A3B"/>
    <w:rsid w:val="007C4FB7"/>
    <w:rsid w:val="007E48DF"/>
    <w:rsid w:val="007E62C7"/>
    <w:rsid w:val="00806639"/>
    <w:rsid w:val="008069D1"/>
    <w:rsid w:val="0082767C"/>
    <w:rsid w:val="0085592D"/>
    <w:rsid w:val="0086088C"/>
    <w:rsid w:val="0089428F"/>
    <w:rsid w:val="00897B21"/>
    <w:rsid w:val="008A5739"/>
    <w:rsid w:val="008A6D23"/>
    <w:rsid w:val="008A7E3D"/>
    <w:rsid w:val="008B4544"/>
    <w:rsid w:val="008D1B26"/>
    <w:rsid w:val="009174E3"/>
    <w:rsid w:val="00935853"/>
    <w:rsid w:val="009620DF"/>
    <w:rsid w:val="0096231D"/>
    <w:rsid w:val="00967A0C"/>
    <w:rsid w:val="009719D3"/>
    <w:rsid w:val="00972F4F"/>
    <w:rsid w:val="00991A05"/>
    <w:rsid w:val="009949BF"/>
    <w:rsid w:val="009C7F26"/>
    <w:rsid w:val="009C7FED"/>
    <w:rsid w:val="009D1B63"/>
    <w:rsid w:val="009D4030"/>
    <w:rsid w:val="009D43C5"/>
    <w:rsid w:val="009D59C8"/>
    <w:rsid w:val="009E669B"/>
    <w:rsid w:val="009F1AF7"/>
    <w:rsid w:val="009F3E0E"/>
    <w:rsid w:val="00A018AF"/>
    <w:rsid w:val="00A04950"/>
    <w:rsid w:val="00A1319E"/>
    <w:rsid w:val="00A36656"/>
    <w:rsid w:val="00AB3729"/>
    <w:rsid w:val="00AB5D8B"/>
    <w:rsid w:val="00AC7D61"/>
    <w:rsid w:val="00AF4D13"/>
    <w:rsid w:val="00B1217A"/>
    <w:rsid w:val="00B25B7D"/>
    <w:rsid w:val="00B539CB"/>
    <w:rsid w:val="00B557BF"/>
    <w:rsid w:val="00BA4F16"/>
    <w:rsid w:val="00BA5352"/>
    <w:rsid w:val="00BB3C31"/>
    <w:rsid w:val="00C05111"/>
    <w:rsid w:val="00C25620"/>
    <w:rsid w:val="00C317D9"/>
    <w:rsid w:val="00C34A14"/>
    <w:rsid w:val="00C5580F"/>
    <w:rsid w:val="00C61C15"/>
    <w:rsid w:val="00C75817"/>
    <w:rsid w:val="00CC1D36"/>
    <w:rsid w:val="00CC7A99"/>
    <w:rsid w:val="00CC7F3D"/>
    <w:rsid w:val="00CE5C17"/>
    <w:rsid w:val="00CF1BA0"/>
    <w:rsid w:val="00CF1F3B"/>
    <w:rsid w:val="00CF3C2E"/>
    <w:rsid w:val="00D01D13"/>
    <w:rsid w:val="00D41F14"/>
    <w:rsid w:val="00D42565"/>
    <w:rsid w:val="00D56ADB"/>
    <w:rsid w:val="00D6025C"/>
    <w:rsid w:val="00D81272"/>
    <w:rsid w:val="00D815FA"/>
    <w:rsid w:val="00DA6A7F"/>
    <w:rsid w:val="00DD2E65"/>
    <w:rsid w:val="00DE64F2"/>
    <w:rsid w:val="00E106AD"/>
    <w:rsid w:val="00E15D93"/>
    <w:rsid w:val="00E21184"/>
    <w:rsid w:val="00E21185"/>
    <w:rsid w:val="00E26900"/>
    <w:rsid w:val="00E407B1"/>
    <w:rsid w:val="00E46650"/>
    <w:rsid w:val="00E509BD"/>
    <w:rsid w:val="00E819EA"/>
    <w:rsid w:val="00E950AB"/>
    <w:rsid w:val="00EA0689"/>
    <w:rsid w:val="00EA760A"/>
    <w:rsid w:val="00EC5DC0"/>
    <w:rsid w:val="00EC69DA"/>
    <w:rsid w:val="00ED0566"/>
    <w:rsid w:val="00EF5470"/>
    <w:rsid w:val="00EF7040"/>
    <w:rsid w:val="00F0395C"/>
    <w:rsid w:val="00F133FE"/>
    <w:rsid w:val="00F15C08"/>
    <w:rsid w:val="00F162BE"/>
    <w:rsid w:val="00F2249C"/>
    <w:rsid w:val="00F426B4"/>
    <w:rsid w:val="00F60120"/>
    <w:rsid w:val="00F6150D"/>
    <w:rsid w:val="00F74C9B"/>
    <w:rsid w:val="00F75FDD"/>
    <w:rsid w:val="00FA280C"/>
    <w:rsid w:val="00FA7E75"/>
    <w:rsid w:val="00FA7F85"/>
    <w:rsid w:val="00FB04A7"/>
    <w:rsid w:val="00FF25CD"/>
    <w:rsid w:val="01736932"/>
    <w:rsid w:val="01787946"/>
    <w:rsid w:val="018D05C8"/>
    <w:rsid w:val="01A67D89"/>
    <w:rsid w:val="02607B71"/>
    <w:rsid w:val="03F84D6E"/>
    <w:rsid w:val="0430275A"/>
    <w:rsid w:val="05377B18"/>
    <w:rsid w:val="05935463"/>
    <w:rsid w:val="05F9301F"/>
    <w:rsid w:val="062C0AB0"/>
    <w:rsid w:val="06B52721"/>
    <w:rsid w:val="074402CA"/>
    <w:rsid w:val="07871CC5"/>
    <w:rsid w:val="079A4748"/>
    <w:rsid w:val="07B62F76"/>
    <w:rsid w:val="0BD87233"/>
    <w:rsid w:val="0D870F11"/>
    <w:rsid w:val="0E63235F"/>
    <w:rsid w:val="0E7476E7"/>
    <w:rsid w:val="0ECF0DC1"/>
    <w:rsid w:val="10BB784F"/>
    <w:rsid w:val="10E70644"/>
    <w:rsid w:val="11712E59"/>
    <w:rsid w:val="12CA3D79"/>
    <w:rsid w:val="13687709"/>
    <w:rsid w:val="13B642FE"/>
    <w:rsid w:val="14223B1C"/>
    <w:rsid w:val="145D0D7E"/>
    <w:rsid w:val="16D33C37"/>
    <w:rsid w:val="17562080"/>
    <w:rsid w:val="17CD028A"/>
    <w:rsid w:val="184F44C6"/>
    <w:rsid w:val="18714C97"/>
    <w:rsid w:val="18BA2EEA"/>
    <w:rsid w:val="1A1D204D"/>
    <w:rsid w:val="1C9F1DD3"/>
    <w:rsid w:val="1E1D38F7"/>
    <w:rsid w:val="1E2A1B70"/>
    <w:rsid w:val="1F6A5BA3"/>
    <w:rsid w:val="1FB5190D"/>
    <w:rsid w:val="1FED10A7"/>
    <w:rsid w:val="20F85F56"/>
    <w:rsid w:val="21696E53"/>
    <w:rsid w:val="21BA76AF"/>
    <w:rsid w:val="23EC33D5"/>
    <w:rsid w:val="253432D4"/>
    <w:rsid w:val="25FF7D86"/>
    <w:rsid w:val="26235823"/>
    <w:rsid w:val="26A60202"/>
    <w:rsid w:val="29611657"/>
    <w:rsid w:val="2A293624"/>
    <w:rsid w:val="2AB25F49"/>
    <w:rsid w:val="2ABC42C9"/>
    <w:rsid w:val="2CCD64E8"/>
    <w:rsid w:val="2D684463"/>
    <w:rsid w:val="2DEE4968"/>
    <w:rsid w:val="2DF61A6F"/>
    <w:rsid w:val="2DF97026"/>
    <w:rsid w:val="2EB3170E"/>
    <w:rsid w:val="2F462582"/>
    <w:rsid w:val="2FE53B49"/>
    <w:rsid w:val="300C1535"/>
    <w:rsid w:val="310444A3"/>
    <w:rsid w:val="31A17F44"/>
    <w:rsid w:val="329802E5"/>
    <w:rsid w:val="3395020D"/>
    <w:rsid w:val="35076310"/>
    <w:rsid w:val="353B1AC4"/>
    <w:rsid w:val="353B6598"/>
    <w:rsid w:val="35BB58EA"/>
    <w:rsid w:val="35E623C9"/>
    <w:rsid w:val="361231BE"/>
    <w:rsid w:val="3659703F"/>
    <w:rsid w:val="37052D23"/>
    <w:rsid w:val="3720190B"/>
    <w:rsid w:val="37607F59"/>
    <w:rsid w:val="37BD4D3B"/>
    <w:rsid w:val="39490B5D"/>
    <w:rsid w:val="39EB6200"/>
    <w:rsid w:val="3EFF0933"/>
    <w:rsid w:val="3FF72D08"/>
    <w:rsid w:val="3FFFE585"/>
    <w:rsid w:val="40815D67"/>
    <w:rsid w:val="40833636"/>
    <w:rsid w:val="44E769FB"/>
    <w:rsid w:val="452627E2"/>
    <w:rsid w:val="46B1432D"/>
    <w:rsid w:val="476A5615"/>
    <w:rsid w:val="477C0DDF"/>
    <w:rsid w:val="4791638E"/>
    <w:rsid w:val="47BE608C"/>
    <w:rsid w:val="48E741A7"/>
    <w:rsid w:val="492D05E3"/>
    <w:rsid w:val="4A766991"/>
    <w:rsid w:val="4B3C30F1"/>
    <w:rsid w:val="4D622825"/>
    <w:rsid w:val="4DA0712A"/>
    <w:rsid w:val="4DFFCF49"/>
    <w:rsid w:val="4E113B00"/>
    <w:rsid w:val="4E5477CA"/>
    <w:rsid w:val="502D711A"/>
    <w:rsid w:val="508B3E41"/>
    <w:rsid w:val="510F4A72"/>
    <w:rsid w:val="51521511"/>
    <w:rsid w:val="51AE3C48"/>
    <w:rsid w:val="51E23F34"/>
    <w:rsid w:val="522E0F28"/>
    <w:rsid w:val="53016E0D"/>
    <w:rsid w:val="53BF62C7"/>
    <w:rsid w:val="54063F0A"/>
    <w:rsid w:val="54244A63"/>
    <w:rsid w:val="545C7FCE"/>
    <w:rsid w:val="549459BA"/>
    <w:rsid w:val="54A84FC1"/>
    <w:rsid w:val="556C53D7"/>
    <w:rsid w:val="556D1D67"/>
    <w:rsid w:val="55782BE6"/>
    <w:rsid w:val="56E878F7"/>
    <w:rsid w:val="5847689F"/>
    <w:rsid w:val="58BA1767"/>
    <w:rsid w:val="5B3752F1"/>
    <w:rsid w:val="5BDF06AE"/>
    <w:rsid w:val="5E0771FD"/>
    <w:rsid w:val="5E174F66"/>
    <w:rsid w:val="5EA846AC"/>
    <w:rsid w:val="5EE72B8A"/>
    <w:rsid w:val="5FB24F46"/>
    <w:rsid w:val="5FBF6CEC"/>
    <w:rsid w:val="605129B1"/>
    <w:rsid w:val="60D273FF"/>
    <w:rsid w:val="60D61108"/>
    <w:rsid w:val="60DD2497"/>
    <w:rsid w:val="60FBA7B0"/>
    <w:rsid w:val="6151253D"/>
    <w:rsid w:val="620E2B75"/>
    <w:rsid w:val="629443D4"/>
    <w:rsid w:val="62A0377C"/>
    <w:rsid w:val="62AC0373"/>
    <w:rsid w:val="641A130C"/>
    <w:rsid w:val="646F76A2"/>
    <w:rsid w:val="65D379C4"/>
    <w:rsid w:val="66544233"/>
    <w:rsid w:val="6660394E"/>
    <w:rsid w:val="666FCE45"/>
    <w:rsid w:val="68896A60"/>
    <w:rsid w:val="689C5D54"/>
    <w:rsid w:val="690E50F0"/>
    <w:rsid w:val="6A863EFA"/>
    <w:rsid w:val="6B6D4417"/>
    <w:rsid w:val="6B833038"/>
    <w:rsid w:val="6BD050D2"/>
    <w:rsid w:val="6BFFD2B1"/>
    <w:rsid w:val="6C3E7400"/>
    <w:rsid w:val="6D1634B7"/>
    <w:rsid w:val="6E4B6C92"/>
    <w:rsid w:val="6E9925CF"/>
    <w:rsid w:val="6F2A1109"/>
    <w:rsid w:val="6F352FF7"/>
    <w:rsid w:val="6FDAD1DB"/>
    <w:rsid w:val="7096503B"/>
    <w:rsid w:val="70C42D2B"/>
    <w:rsid w:val="716342F2"/>
    <w:rsid w:val="71A92410"/>
    <w:rsid w:val="71CA25C3"/>
    <w:rsid w:val="71D62D16"/>
    <w:rsid w:val="731735E6"/>
    <w:rsid w:val="7329331A"/>
    <w:rsid w:val="736001AB"/>
    <w:rsid w:val="73E52544"/>
    <w:rsid w:val="74A027BF"/>
    <w:rsid w:val="75DF776D"/>
    <w:rsid w:val="76D637B8"/>
    <w:rsid w:val="77811976"/>
    <w:rsid w:val="78B63A60"/>
    <w:rsid w:val="7ABF518F"/>
    <w:rsid w:val="7AF22CEB"/>
    <w:rsid w:val="7AFC14FE"/>
    <w:rsid w:val="7BCBD214"/>
    <w:rsid w:val="7D19520A"/>
    <w:rsid w:val="7D3134F6"/>
    <w:rsid w:val="7D8775BA"/>
    <w:rsid w:val="7DF32A23"/>
    <w:rsid w:val="7E0F759B"/>
    <w:rsid w:val="7E3C65F7"/>
    <w:rsid w:val="7EB24873"/>
    <w:rsid w:val="7ECFA3C1"/>
    <w:rsid w:val="7F5D52EE"/>
    <w:rsid w:val="7F617A4E"/>
    <w:rsid w:val="7FCDB995"/>
    <w:rsid w:val="7FEBC143"/>
    <w:rsid w:val="7FFDC9AE"/>
    <w:rsid w:val="7FFEF926"/>
    <w:rsid w:val="8BBE1CA7"/>
    <w:rsid w:val="ADAC8533"/>
    <w:rsid w:val="ADB7FA47"/>
    <w:rsid w:val="BC6D8697"/>
    <w:rsid w:val="BE5DEE26"/>
    <w:rsid w:val="BFF752D6"/>
    <w:rsid w:val="BFF7BCF0"/>
    <w:rsid w:val="CFBAA346"/>
    <w:rsid w:val="D7AEF669"/>
    <w:rsid w:val="DDF7D9DC"/>
    <w:rsid w:val="DFAA97CD"/>
    <w:rsid w:val="DFB52FF8"/>
    <w:rsid w:val="E7C7B75B"/>
    <w:rsid w:val="EF7F64B2"/>
    <w:rsid w:val="EFAEB37A"/>
    <w:rsid w:val="EFFF97B1"/>
    <w:rsid w:val="F7FBA8ED"/>
    <w:rsid w:val="F7FF6B6D"/>
    <w:rsid w:val="FA77157A"/>
    <w:rsid w:val="FA799056"/>
    <w:rsid w:val="FBCB6301"/>
    <w:rsid w:val="FEEF6AE4"/>
    <w:rsid w:val="FF7F144D"/>
    <w:rsid w:val="FFF53B15"/>
    <w:rsid w:val="FFF66A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jc w:val="both"/>
      <w:textAlignment w:val="baseline"/>
    </w:pPr>
    <w:rPr>
      <w:rFonts w:ascii="仿宋_GB2312" w:hAnsi="仿宋_GB2312" w:eastAsia="仿宋_GB2312"/>
      <w:sz w:val="32"/>
      <w:szCs w:val="32"/>
      <w:lang w:val="en-US" w:eastAsia="zh-CN" w:bidi="ar-SA"/>
    </w:rPr>
  </w:style>
  <w:style w:type="character" w:default="1" w:styleId="9">
    <w:name w:val="Default Paragraph Font"/>
    <w:unhideWhenUsed/>
    <w:uiPriority w:val="1"/>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unhideWhenUsed/>
    <w:uiPriority w:val="99"/>
    <w:pPr>
      <w:ind w:firstLine="624"/>
      <w:jc w:val="left"/>
    </w:pPr>
  </w:style>
  <w:style w:type="paragraph" w:styleId="4">
    <w:name w:val="Balloon Text"/>
    <w:basedOn w:val="1"/>
    <w:link w:val="11"/>
    <w:unhideWhenUsed/>
    <w:uiPriority w:val="99"/>
    <w:pPr>
      <w:adjustRightInd/>
      <w:spacing w:line="240" w:lineRule="auto"/>
      <w:textAlignment w:val="auto"/>
    </w:pPr>
    <w:rPr>
      <w:rFonts w:ascii="Times New Roman" w:hAnsi="Times New Roman" w:eastAsia="宋体" w:cs="Times New Roman"/>
      <w:kern w:val="2"/>
      <w:sz w:val="18"/>
      <w:szCs w:val="18"/>
    </w:rPr>
  </w:style>
  <w:style w:type="paragraph" w:styleId="5">
    <w:name w:val="footer"/>
    <w:basedOn w:val="1"/>
    <w:link w:val="12"/>
    <w:unhideWhenUsed/>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rFonts w:ascii="Calibri" w:hAnsi="Calibri" w:eastAsia="宋体"/>
      <w:sz w:val="18"/>
      <w:szCs w:val="18"/>
    </w:rPr>
  </w:style>
  <w:style w:type="paragraph" w:styleId="7">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uiPriority w:val="0"/>
  </w:style>
  <w:style w:type="character" w:customStyle="1" w:styleId="11">
    <w:name w:val="批注框文本 字符"/>
    <w:link w:val="4"/>
    <w:semiHidden/>
    <w:uiPriority w:val="99"/>
    <w:rPr>
      <w:rFonts w:ascii="Calibri" w:hAnsi="Calibri" w:eastAsia="宋体" w:cs="Times New Roman"/>
      <w:sz w:val="18"/>
      <w:szCs w:val="18"/>
    </w:rPr>
  </w:style>
  <w:style w:type="character" w:customStyle="1" w:styleId="12">
    <w:name w:val="页脚 字符"/>
    <w:link w:val="5"/>
    <w:uiPriority w:val="99"/>
    <w:rPr>
      <w:rFonts w:ascii="Calibri" w:hAnsi="Calibri" w:eastAsia="宋体" w:cs="Times New Roman"/>
      <w:sz w:val="18"/>
      <w:szCs w:val="18"/>
    </w:rPr>
  </w:style>
  <w:style w:type="character" w:customStyle="1" w:styleId="13">
    <w:name w:val="页眉 字符"/>
    <w:link w:val="6"/>
    <w:uiPriority w:val="99"/>
    <w:rPr>
      <w:rFonts w:ascii="Calibri" w:hAnsi="Calibri" w:eastAsia="宋体" w:cs="Times New Roman"/>
      <w:sz w:val="18"/>
      <w:szCs w:val="18"/>
    </w:rPr>
  </w:style>
  <w:style w:type="paragraph" w:customStyle="1" w:styleId="14">
    <w:name w:val="Char"/>
    <w:basedOn w:val="1"/>
    <w:uiPriority w:val="0"/>
    <w:pPr>
      <w:adjustRightInd/>
      <w:spacing w:line="240" w:lineRule="auto"/>
      <w:textAlignment w:val="auto"/>
    </w:pPr>
    <w:rPr>
      <w:rFonts w:ascii="Tahoma" w:hAnsi="Tahoma" w:eastAsia="宋体"/>
      <w:kern w:val="2"/>
      <w:sz w:val="24"/>
      <w:szCs w:val="20"/>
    </w:rPr>
  </w:style>
  <w:style w:type="paragraph" w:styleId="15">
    <w:name w:val=""/>
    <w:unhideWhenUsed/>
    <w:uiPriority w:val="99"/>
    <w:rPr>
      <w:rFonts w:ascii="仿宋_GB2312" w:eastAsia="仿宋_GB2312"/>
      <w:sz w:val="32"/>
      <w:szCs w:val="3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Company>
  <Pages>4</Pages>
  <Words>1897</Words>
  <Characters>1919</Characters>
  <Lines>351</Lines>
  <Paragraphs>177</Paragraphs>
  <TotalTime>46</TotalTime>
  <ScaleCrop>false</ScaleCrop>
  <LinksUpToDate>false</LinksUpToDate>
  <CharactersWithSpaces>1919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2026-03-31T13:35:00Z</dcterms:created>
  <dc:creator>田政</dc:creator>
  <cp:lastModifiedBy>liuyt1</cp:lastModifiedBy>
  <cp:lastPrinted>2026-03-31T14:22:03Z</cp:lastPrinted>
  <dcterms:modified xsi:type="dcterms:W3CDTF">2026-04-22T10:09:01Z</dcterms:modified>
  <dc:title>ddndhdalx</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9978D39E63DFAF25BD2DE869412B478C</vt:lpwstr>
  </property>
  <property fmtid="{D5CDD505-2E9C-101B-9397-08002B2CF9AE}" pid="4" name="KSOTemplateDocerSaveRecord">
    <vt:lpwstr>eyJoZGlkIjoiMjU3MDliNjdiNTJhZDVlNGQwZmFlODEzMTAwYzFmYWYiLCJ1c2VySWQiOiIzMjA2MjIxMzEifQ==</vt:lpwstr>
  </property>
</Properties>
</file>