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spacing w:line="360" w:lineRule="auto"/>
        <w:jc w:val="both"/>
      </w:pPr>
    </w:p>
    <w:p>
      <w:pPr>
        <w:spacing w:before="156" w:beforeLines="50" w:after="156" w:afterLines="50" w:line="360" w:lineRule="auto"/>
        <w:jc w:val="both"/>
        <w:outlineLvl w:val="0"/>
        <w:rPr>
          <w:rFonts w:ascii="楷体" w:hAnsi="楷体" w:eastAsia="楷体"/>
          <w:b/>
          <w:sz w:val="48"/>
          <w:szCs w:val="48"/>
        </w:rPr>
      </w:pPr>
    </w:p>
    <w:p>
      <w:pPr>
        <w:spacing w:before="156" w:beforeLines="50" w:after="156" w:afterLines="50" w:line="360" w:lineRule="auto"/>
        <w:jc w:val="center"/>
        <w:outlineLvl w:val="0"/>
        <w:rPr>
          <w:rFonts w:hint="eastAsia" w:ascii="方正小标宋_GBK" w:hAnsi="方正小标宋_GBK" w:eastAsia="方正小标宋_GBK" w:cs="方正小标宋_GBK"/>
          <w:b w:val="0"/>
          <w:bCs w:val="0"/>
          <w:sz w:val="44"/>
          <w:szCs w:val="44"/>
        </w:rPr>
      </w:pPr>
      <w:bookmarkStart w:id="0" w:name="_Toc1583243554"/>
      <w:r>
        <w:rPr>
          <w:rFonts w:hint="eastAsia" w:ascii="方正小标宋_GBK" w:hAnsi="方正小标宋_GBK" w:eastAsia="方正小标宋_GBK" w:cs="方正小标宋_GBK"/>
          <w:b w:val="0"/>
          <w:bCs w:val="0"/>
          <w:sz w:val="44"/>
          <w:szCs w:val="44"/>
        </w:rPr>
        <w:t>关于《深圳市社会信用体系建设“十五五”行动计划》的风险评估报告</w:t>
      </w:r>
      <w:bookmarkEnd w:id="0"/>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pPr>
      <w:bookmarkStart w:id="1" w:name="_Toc105789563"/>
      <w:r>
        <w:rPr>
          <w:rFonts w:hint="eastAsia" w:ascii="方正小标宋_GBK" w:hAnsi="方正小标宋_GBK" w:eastAsia="方正小标宋_GBK" w:cs="方正小标宋_GBK"/>
          <w:b w:val="0"/>
          <w:bCs w:val="0"/>
          <w:sz w:val="44"/>
          <w:szCs w:val="44"/>
          <w:lang w:val="en-US" w:eastAsia="zh-CN"/>
        </w:rPr>
        <w:t>2026年5月15日</w:t>
      </w:r>
      <w:bookmarkEnd w:id="1"/>
    </w:p>
    <w:p>
      <w:pPr>
        <w:pStyle w:val="2"/>
      </w:pPr>
    </w:p>
    <w:p>
      <w:pPr>
        <w:pStyle w:val="3"/>
      </w:pPr>
    </w:p>
    <w:p>
      <w:pPr>
        <w:pStyle w:val="4"/>
      </w:pPr>
    </w:p>
    <w:p/>
    <w:p>
      <w:pPr>
        <w:pStyle w:val="2"/>
      </w:pPr>
    </w:p>
    <w:p>
      <w:pPr>
        <w:pStyle w:val="3"/>
        <w:rPr>
          <w:rFonts w:hint="default"/>
          <w:lang w:val="en-US" w:eastAsia="zh-CN"/>
        </w:rPr>
      </w:pPr>
    </w:p>
    <w:sdt>
      <w:sdtPr>
        <w:rPr>
          <w:rFonts w:hint="eastAsia" w:ascii="仿宋_GB2312" w:hAnsi="仿宋_GB2312" w:eastAsia="仿宋_GB2312" w:cs="仿宋_GB2312"/>
          <w:sz w:val="28"/>
          <w:szCs w:val="28"/>
        </w:rPr>
        <w:id w:val="147456928"/>
        <w15:color w:val="DBDBDB"/>
        <w:docPartObj>
          <w:docPartGallery w:val="Table of Contents"/>
          <w:docPartUnique/>
        </w:docPartObj>
      </w:sdtPr>
      <w:sdtEndPr>
        <w:rPr>
          <w:rFonts w:hint="eastAsia" w:ascii="Arial" w:hAnsi="Arial" w:eastAsia="Arial" w:cs="仿宋_GB2312"/>
          <w:sz w:val="28"/>
          <w:szCs w:val="28"/>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录</w:t>
          </w:r>
        </w:p>
        <w:p>
          <w:pPr>
            <w:pStyle w:val="13"/>
            <w:tabs>
              <w:tab w:val="right" w:leader="dot" w:pos="8306"/>
            </w:tabs>
          </w:pPr>
          <w:r>
            <w:rPr>
              <w:sz w:val="24"/>
              <w:szCs w:val="24"/>
            </w:rPr>
            <w:fldChar w:fldCharType="begin"/>
          </w:r>
          <w:r>
            <w:rPr>
              <w:sz w:val="24"/>
              <w:szCs w:val="24"/>
            </w:rPr>
            <w:instrText xml:space="preserve">TOC \o "1-3" \h \u </w:instrText>
          </w:r>
          <w:r>
            <w:rPr>
              <w:sz w:val="24"/>
              <w:szCs w:val="24"/>
            </w:rPr>
            <w:fldChar w:fldCharType="separate"/>
          </w:r>
        </w:p>
        <w:p>
          <w:pPr>
            <w:pStyle w:val="13"/>
            <w:tabs>
              <w:tab w:val="right" w:leader="dot" w:pos="8306"/>
            </w:tabs>
          </w:pPr>
          <w:r>
            <w:rPr>
              <w:szCs w:val="24"/>
            </w:rPr>
            <w:fldChar w:fldCharType="begin"/>
          </w:r>
          <w:r>
            <w:rPr>
              <w:szCs w:val="24"/>
            </w:rPr>
            <w:instrText xml:space="preserve"> HYPERLINK \l _Toc79912590 </w:instrText>
          </w:r>
          <w:r>
            <w:rPr>
              <w:szCs w:val="24"/>
            </w:rPr>
            <w:fldChar w:fldCharType="separate"/>
          </w:r>
          <w:r>
            <w:rPr>
              <w:rFonts w:hint="eastAsia" w:ascii="黑体" w:hAnsi="黑体" w:eastAsia="黑体" w:cs="黑体"/>
              <w:bCs/>
              <w:szCs w:val="32"/>
            </w:rPr>
            <w:t>第一部分  风险评估事项概述</w:t>
          </w:r>
          <w:r>
            <w:tab/>
          </w:r>
          <w:r>
            <w:fldChar w:fldCharType="begin"/>
          </w:r>
          <w:r>
            <w:instrText xml:space="preserve"> PAGEREF _Toc79912590 </w:instrText>
          </w:r>
          <w:r>
            <w:fldChar w:fldCharType="separate"/>
          </w:r>
          <w:r>
            <w:t>3</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_Toc1282648572 </w:instrText>
          </w:r>
          <w:r>
            <w:rPr>
              <w:szCs w:val="24"/>
            </w:rPr>
            <w:fldChar w:fldCharType="separate"/>
          </w:r>
          <w:r>
            <w:rPr>
              <w:rFonts w:ascii="黑体" w:hAnsi="黑体" w:eastAsia="黑体" w:cs="黑体"/>
              <w:szCs w:val="32"/>
            </w:rPr>
            <w:t>一、风险评估事项</w:t>
          </w:r>
          <w:r>
            <w:tab/>
          </w:r>
          <w:r>
            <w:fldChar w:fldCharType="begin"/>
          </w:r>
          <w:r>
            <w:instrText xml:space="preserve"> PAGEREF _Toc1282648572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_Toc1264428443 </w:instrText>
          </w:r>
          <w:r>
            <w:rPr>
              <w:szCs w:val="24"/>
            </w:rPr>
            <w:fldChar w:fldCharType="separate"/>
          </w:r>
          <w:r>
            <w:rPr>
              <w:rFonts w:hint="eastAsia" w:ascii="楷体" w:hAnsi="楷体" w:eastAsia="楷体" w:cs="楷体"/>
              <w:szCs w:val="32"/>
            </w:rPr>
            <w:t>（一）评估事项名称</w:t>
          </w:r>
          <w:r>
            <w:tab/>
          </w:r>
          <w:r>
            <w:fldChar w:fldCharType="begin"/>
          </w:r>
          <w:r>
            <w:instrText xml:space="preserve"> PAGEREF _Toc1264428443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_Toc379518522 </w:instrText>
          </w:r>
          <w:r>
            <w:rPr>
              <w:szCs w:val="24"/>
            </w:rPr>
            <w:fldChar w:fldCharType="separate"/>
          </w:r>
          <w:r>
            <w:rPr>
              <w:rFonts w:hint="eastAsia" w:ascii="楷体" w:hAnsi="楷体" w:eastAsia="楷体" w:cs="楷体"/>
              <w:szCs w:val="32"/>
            </w:rPr>
            <w:t>（二）评估事项制定背景</w:t>
          </w:r>
          <w:r>
            <w:tab/>
          </w:r>
          <w:r>
            <w:fldChar w:fldCharType="begin"/>
          </w:r>
          <w:r>
            <w:instrText xml:space="preserve"> PAGEREF _Toc379518522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_Toc1136568915 </w:instrText>
          </w:r>
          <w:r>
            <w:rPr>
              <w:szCs w:val="24"/>
            </w:rPr>
            <w:fldChar w:fldCharType="separate"/>
          </w:r>
          <w:r>
            <w:rPr>
              <w:rFonts w:hint="eastAsia" w:ascii="楷体" w:hAnsi="楷体" w:eastAsia="楷体" w:cs="楷体"/>
              <w:szCs w:val="32"/>
            </w:rPr>
            <w:t>（三）评估事项制定过程</w:t>
          </w:r>
          <w:r>
            <w:tab/>
          </w:r>
          <w:r>
            <w:fldChar w:fldCharType="begin"/>
          </w:r>
          <w:r>
            <w:instrText xml:space="preserve"> PAGEREF _Toc1136568915 </w:instrText>
          </w:r>
          <w:r>
            <w:fldChar w:fldCharType="separate"/>
          </w:r>
          <w:r>
            <w:t>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_Toc550826031 </w:instrText>
          </w:r>
          <w:r>
            <w:rPr>
              <w:szCs w:val="24"/>
            </w:rPr>
            <w:fldChar w:fldCharType="separate"/>
          </w:r>
          <w:r>
            <w:rPr>
              <w:rFonts w:hint="eastAsia" w:ascii="楷体" w:hAnsi="楷体" w:eastAsia="楷体" w:cs="楷体"/>
              <w:szCs w:val="32"/>
            </w:rPr>
            <w:t>（四）评估事项主要内容</w:t>
          </w:r>
          <w:r>
            <w:tab/>
          </w:r>
          <w:r>
            <w:fldChar w:fldCharType="begin"/>
          </w:r>
          <w:r>
            <w:instrText xml:space="preserve"> PAGEREF _Toc550826031 </w:instrText>
          </w:r>
          <w:r>
            <w:fldChar w:fldCharType="separate"/>
          </w:r>
          <w:r>
            <w:t>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_Toc1568002061 </w:instrText>
          </w:r>
          <w:r>
            <w:rPr>
              <w:szCs w:val="24"/>
            </w:rPr>
            <w:fldChar w:fldCharType="separate"/>
          </w:r>
          <w:r>
            <w:rPr>
              <w:rFonts w:ascii="黑体" w:hAnsi="黑体" w:eastAsia="黑体" w:cs="黑体"/>
              <w:szCs w:val="32"/>
            </w:rPr>
            <w:t>二、评估目的</w:t>
          </w:r>
          <w:r>
            <w:tab/>
          </w:r>
          <w:r>
            <w:fldChar w:fldCharType="begin"/>
          </w:r>
          <w:r>
            <w:instrText xml:space="preserve"> PAGEREF _Toc1568002061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_Toc1500734574 </w:instrText>
          </w:r>
          <w:r>
            <w:rPr>
              <w:szCs w:val="24"/>
            </w:rPr>
            <w:fldChar w:fldCharType="separate"/>
          </w:r>
          <w:r>
            <w:rPr>
              <w:rFonts w:ascii="黑体" w:hAnsi="黑体" w:eastAsia="黑体" w:cs="黑体"/>
              <w:szCs w:val="32"/>
            </w:rPr>
            <w:t>三、评估依据</w:t>
          </w:r>
          <w:r>
            <w:tab/>
          </w:r>
          <w:r>
            <w:fldChar w:fldCharType="begin"/>
          </w:r>
          <w:r>
            <w:instrText xml:space="preserve"> PAGEREF _Toc1500734574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_Toc766842378 </w:instrText>
          </w:r>
          <w:r>
            <w:rPr>
              <w:szCs w:val="24"/>
            </w:rPr>
            <w:fldChar w:fldCharType="separate"/>
          </w:r>
          <w:r>
            <w:rPr>
              <w:rFonts w:ascii="黑体" w:hAnsi="黑体" w:eastAsia="黑体" w:cs="黑体"/>
              <w:szCs w:val="32"/>
            </w:rPr>
            <w:t>四、评估要点</w:t>
          </w:r>
          <w:r>
            <w:tab/>
          </w:r>
          <w:r>
            <w:fldChar w:fldCharType="begin"/>
          </w:r>
          <w:r>
            <w:instrText xml:space="preserve"> PAGEREF _Toc766842378 </w:instrText>
          </w:r>
          <w:r>
            <w:fldChar w:fldCharType="separate"/>
          </w:r>
          <w:r>
            <w:t>7</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_Toc345781786 </w:instrText>
          </w:r>
          <w:r>
            <w:rPr>
              <w:szCs w:val="24"/>
            </w:rPr>
            <w:fldChar w:fldCharType="separate"/>
          </w:r>
          <w:r>
            <w:rPr>
              <w:rFonts w:ascii="黑体" w:hAnsi="黑体" w:eastAsia="黑体" w:cs="黑体"/>
              <w:szCs w:val="32"/>
            </w:rPr>
            <w:t>五、评估方法</w:t>
          </w:r>
          <w:r>
            <w:tab/>
          </w:r>
          <w:r>
            <w:fldChar w:fldCharType="begin"/>
          </w:r>
          <w:r>
            <w:instrText xml:space="preserve"> PAGEREF _Toc345781786 </w:instrText>
          </w:r>
          <w:r>
            <w:fldChar w:fldCharType="separate"/>
          </w:r>
          <w:r>
            <w:t>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_Toc764844850 </w:instrText>
          </w:r>
          <w:r>
            <w:rPr>
              <w:szCs w:val="24"/>
            </w:rPr>
            <w:fldChar w:fldCharType="separate"/>
          </w:r>
          <w:r>
            <w:rPr>
              <w:rFonts w:hint="eastAsia" w:ascii="黑体" w:hAnsi="黑体" w:eastAsia="黑体" w:cs="黑体"/>
              <w:bCs/>
              <w:szCs w:val="32"/>
            </w:rPr>
            <w:t>第二部分  风险评估内容</w:t>
          </w:r>
          <w:r>
            <w:tab/>
          </w:r>
          <w:r>
            <w:fldChar w:fldCharType="begin"/>
          </w:r>
          <w:r>
            <w:instrText xml:space="preserve"> PAGEREF _Toc764844850 </w:instrText>
          </w:r>
          <w:r>
            <w:fldChar w:fldCharType="separate"/>
          </w:r>
          <w:r>
            <w:t>8</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_Toc2090459076 </w:instrText>
          </w:r>
          <w:r>
            <w:rPr>
              <w:szCs w:val="24"/>
            </w:rPr>
            <w:fldChar w:fldCharType="separate"/>
          </w:r>
          <w:r>
            <w:rPr>
              <w:rFonts w:ascii="黑体" w:hAnsi="黑体" w:eastAsia="黑体" w:cs="黑体"/>
              <w:szCs w:val="32"/>
            </w:rPr>
            <w:t>一、合法性评估</w:t>
          </w:r>
          <w:r>
            <w:tab/>
          </w:r>
          <w:r>
            <w:fldChar w:fldCharType="begin"/>
          </w:r>
          <w:r>
            <w:instrText xml:space="preserve"> PAGEREF _Toc2090459076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_Toc268953659 </w:instrText>
          </w:r>
          <w:r>
            <w:rPr>
              <w:szCs w:val="24"/>
            </w:rPr>
            <w:fldChar w:fldCharType="separate"/>
          </w:r>
          <w:r>
            <w:rPr>
              <w:rFonts w:hint="eastAsia" w:ascii="楷体" w:hAnsi="楷体" w:eastAsia="楷体" w:cs="楷体"/>
              <w:szCs w:val="32"/>
            </w:rPr>
            <w:t>（一）决策承办单位主体资格</w:t>
          </w:r>
          <w:r>
            <w:tab/>
          </w:r>
          <w:r>
            <w:fldChar w:fldCharType="begin"/>
          </w:r>
          <w:r>
            <w:instrText xml:space="preserve"> PAGEREF _Toc268953659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_Toc24473847 </w:instrText>
          </w:r>
          <w:r>
            <w:rPr>
              <w:szCs w:val="24"/>
            </w:rPr>
            <w:fldChar w:fldCharType="separate"/>
          </w:r>
          <w:r>
            <w:rPr>
              <w:rFonts w:hint="eastAsia" w:ascii="楷体" w:hAnsi="楷体" w:eastAsia="楷体" w:cs="楷体"/>
              <w:szCs w:val="32"/>
            </w:rPr>
            <w:t>（二）制定依据</w:t>
          </w:r>
          <w:r>
            <w:tab/>
          </w:r>
          <w:r>
            <w:fldChar w:fldCharType="begin"/>
          </w:r>
          <w:r>
            <w:instrText xml:space="preserve"> PAGEREF _Toc24473847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_Toc1536200215 </w:instrText>
          </w:r>
          <w:r>
            <w:rPr>
              <w:szCs w:val="24"/>
            </w:rPr>
            <w:fldChar w:fldCharType="separate"/>
          </w:r>
          <w:r>
            <w:rPr>
              <w:rFonts w:hint="eastAsia" w:ascii="楷体" w:hAnsi="楷体" w:eastAsia="楷体" w:cs="楷体"/>
              <w:szCs w:val="32"/>
            </w:rPr>
            <w:t>（三）制定程序</w:t>
          </w:r>
          <w:r>
            <w:tab/>
          </w:r>
          <w:r>
            <w:fldChar w:fldCharType="begin"/>
          </w:r>
          <w:r>
            <w:instrText xml:space="preserve"> PAGEREF _Toc1536200215 </w:instrText>
          </w:r>
          <w:r>
            <w:fldChar w:fldCharType="separate"/>
          </w:r>
          <w:r>
            <w:t>9</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_Toc1407043158 </w:instrText>
          </w:r>
          <w:r>
            <w:rPr>
              <w:szCs w:val="24"/>
            </w:rPr>
            <w:fldChar w:fldCharType="separate"/>
          </w:r>
          <w:r>
            <w:rPr>
              <w:rFonts w:ascii="黑体" w:hAnsi="黑体" w:eastAsia="黑体" w:cs="黑体"/>
              <w:szCs w:val="32"/>
            </w:rPr>
            <w:t>二、合理性评估</w:t>
          </w:r>
          <w:r>
            <w:tab/>
          </w:r>
          <w:r>
            <w:fldChar w:fldCharType="begin"/>
          </w:r>
          <w:r>
            <w:instrText xml:space="preserve"> PAGEREF _Toc1407043158 </w:instrText>
          </w:r>
          <w:r>
            <w:fldChar w:fldCharType="separate"/>
          </w:r>
          <w:r>
            <w:t>9</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_Toc1925364630 </w:instrText>
          </w:r>
          <w:r>
            <w:rPr>
              <w:szCs w:val="24"/>
            </w:rPr>
            <w:fldChar w:fldCharType="separate"/>
          </w:r>
          <w:r>
            <w:rPr>
              <w:rFonts w:hint="eastAsia" w:ascii="楷体" w:hAnsi="楷体" w:eastAsia="楷体" w:cs="楷体"/>
              <w:szCs w:val="32"/>
            </w:rPr>
            <w:t>（一）落实国家战略部署、服务中国式现代化建设的必然要求</w:t>
          </w:r>
          <w:r>
            <w:tab/>
          </w:r>
          <w:r>
            <w:fldChar w:fldCharType="begin"/>
          </w:r>
          <w:r>
            <w:instrText xml:space="preserve"> PAGEREF _Toc1925364630 </w:instrText>
          </w:r>
          <w:r>
            <w:fldChar w:fldCharType="separate"/>
          </w:r>
          <w:r>
            <w:t>10</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_Toc269391218 </w:instrText>
          </w:r>
          <w:r>
            <w:rPr>
              <w:szCs w:val="24"/>
            </w:rPr>
            <w:fldChar w:fldCharType="separate"/>
          </w:r>
          <w:r>
            <w:rPr>
              <w:rFonts w:hint="eastAsia" w:ascii="楷体" w:hAnsi="楷体" w:eastAsia="楷体" w:cs="楷体"/>
              <w:szCs w:val="32"/>
            </w:rPr>
            <w:t>（二）推动深圳高质量发展、打造国际一流营商环境的迫切需要</w:t>
          </w:r>
          <w:r>
            <w:tab/>
          </w:r>
          <w:r>
            <w:fldChar w:fldCharType="begin"/>
          </w:r>
          <w:r>
            <w:instrText xml:space="preserve"> PAGEREF _Toc269391218 </w:instrText>
          </w:r>
          <w:r>
            <w:fldChar w:fldCharType="separate"/>
          </w:r>
          <w:r>
            <w:t>11</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_Toc1826532663 </w:instrText>
          </w:r>
          <w:r>
            <w:rPr>
              <w:szCs w:val="24"/>
            </w:rPr>
            <w:fldChar w:fldCharType="separate"/>
          </w:r>
          <w:r>
            <w:rPr>
              <w:rFonts w:hint="eastAsia" w:ascii="楷体" w:hAnsi="楷体" w:eastAsia="楷体" w:cs="楷体"/>
              <w:szCs w:val="32"/>
            </w:rPr>
            <w:t>（三）提升超大城市治理现代化水平、增进民生福祉的现实选择</w:t>
          </w:r>
          <w:r>
            <w:tab/>
          </w:r>
          <w:r>
            <w:fldChar w:fldCharType="begin"/>
          </w:r>
          <w:r>
            <w:instrText xml:space="preserve"> PAGEREF _Toc1826532663 </w:instrText>
          </w:r>
          <w:r>
            <w:fldChar w:fldCharType="separate"/>
          </w:r>
          <w:r>
            <w:t>12</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_Toc437169410 </w:instrText>
          </w:r>
          <w:r>
            <w:rPr>
              <w:szCs w:val="24"/>
            </w:rPr>
            <w:fldChar w:fldCharType="separate"/>
          </w:r>
          <w:r>
            <w:rPr>
              <w:rFonts w:ascii="黑体" w:hAnsi="黑体" w:eastAsia="黑体" w:cs="黑体"/>
              <w:szCs w:val="32"/>
            </w:rPr>
            <w:t>三、可行性评估</w:t>
          </w:r>
          <w:r>
            <w:tab/>
          </w:r>
          <w:r>
            <w:fldChar w:fldCharType="begin"/>
          </w:r>
          <w:r>
            <w:instrText xml:space="preserve"> PAGEREF _Toc437169410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_Toc764093809 </w:instrText>
          </w:r>
          <w:r>
            <w:rPr>
              <w:szCs w:val="24"/>
            </w:rPr>
            <w:fldChar w:fldCharType="separate"/>
          </w:r>
          <w:r>
            <w:rPr>
              <w:rFonts w:hint="eastAsia" w:ascii="楷体" w:hAnsi="楷体" w:eastAsia="楷体" w:cs="楷体"/>
              <w:szCs w:val="32"/>
            </w:rPr>
            <w:t>（一）政策法规体系完备，具备坚实制度保障基础</w:t>
          </w:r>
          <w:r>
            <w:tab/>
          </w:r>
          <w:r>
            <w:fldChar w:fldCharType="begin"/>
          </w:r>
          <w:r>
            <w:instrText xml:space="preserve"> PAGEREF _Toc764093809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_Toc1213197561 </w:instrText>
          </w:r>
          <w:r>
            <w:rPr>
              <w:szCs w:val="24"/>
            </w:rPr>
            <w:fldChar w:fldCharType="separate"/>
          </w:r>
          <w:r>
            <w:rPr>
              <w:rFonts w:hint="eastAsia" w:ascii="楷体" w:hAnsi="楷体" w:eastAsia="楷体" w:cs="楷体"/>
              <w:szCs w:val="32"/>
            </w:rPr>
            <w:t>（二）前期建设基础扎实，具备成熟工作实践支撑</w:t>
          </w:r>
          <w:r>
            <w:tab/>
          </w:r>
          <w:r>
            <w:fldChar w:fldCharType="begin"/>
          </w:r>
          <w:r>
            <w:instrText xml:space="preserve"> PAGEREF _Toc1213197561 </w:instrText>
          </w:r>
          <w:r>
            <w:fldChar w:fldCharType="separate"/>
          </w:r>
          <w:r>
            <w:t>14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_Toc401322252 </w:instrText>
          </w:r>
          <w:r>
            <w:rPr>
              <w:szCs w:val="24"/>
            </w:rPr>
            <w:fldChar w:fldCharType="separate"/>
          </w:r>
          <w:r>
            <w:rPr>
              <w:rFonts w:hint="eastAsia" w:ascii="楷体" w:hAnsi="楷体" w:eastAsia="楷体" w:cs="楷体"/>
              <w:szCs w:val="32"/>
            </w:rPr>
            <w:t>（三）城市综合优势突出，具备环境与要素保障条件</w:t>
          </w:r>
          <w:r>
            <w:tab/>
          </w:r>
          <w:r>
            <w:fldChar w:fldCharType="begin"/>
          </w:r>
          <w:r>
            <w:instrText xml:space="preserve"> PAGEREF _Toc401322252 </w:instrText>
          </w:r>
          <w:r>
            <w:fldChar w:fldCharType="separate"/>
          </w:r>
          <w:r>
            <w:t>15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_Toc368426921 </w:instrText>
          </w:r>
          <w:r>
            <w:rPr>
              <w:szCs w:val="24"/>
            </w:rPr>
            <w:fldChar w:fldCharType="separate"/>
          </w:r>
          <w:r>
            <w:rPr>
              <w:rFonts w:ascii="黑体" w:hAnsi="黑体" w:eastAsia="黑体" w:cs="黑体"/>
              <w:szCs w:val="32"/>
            </w:rPr>
            <w:t>四、可控性评估</w:t>
          </w:r>
          <w:r>
            <w:tab/>
          </w:r>
          <w:r>
            <w:fldChar w:fldCharType="begin"/>
          </w:r>
          <w:r>
            <w:instrText xml:space="preserve"> PAGEREF _Toc368426921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_Toc721332926 </w:instrText>
          </w:r>
          <w:r>
            <w:rPr>
              <w:szCs w:val="24"/>
            </w:rPr>
            <w:fldChar w:fldCharType="separate"/>
          </w:r>
          <w:r>
            <w:rPr>
              <w:rFonts w:hint="eastAsia" w:ascii="楷体" w:hAnsi="楷体" w:eastAsia="楷体" w:cs="楷体"/>
              <w:szCs w:val="32"/>
            </w:rPr>
            <w:t>（一）可能存在的风险点</w:t>
          </w:r>
          <w:r>
            <w:tab/>
          </w:r>
          <w:r>
            <w:fldChar w:fldCharType="begin"/>
          </w:r>
          <w:r>
            <w:instrText xml:space="preserve"> PAGEREF _Toc721332926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_Toc867633402 </w:instrText>
          </w:r>
          <w:r>
            <w:rPr>
              <w:szCs w:val="24"/>
            </w:rPr>
            <w:fldChar w:fldCharType="separate"/>
          </w:r>
          <w:r>
            <w:rPr>
              <w:rFonts w:hint="eastAsia" w:ascii="楷体" w:hAnsi="楷体" w:eastAsia="楷体" w:cs="楷体"/>
              <w:szCs w:val="32"/>
            </w:rPr>
            <w:t>（二）风险防范、减缓及化解措施建议</w:t>
          </w:r>
          <w:r>
            <w:tab/>
          </w:r>
          <w:r>
            <w:fldChar w:fldCharType="begin"/>
          </w:r>
          <w:r>
            <w:instrText xml:space="preserve"> PAGEREF _Toc867633402 </w:instrText>
          </w:r>
          <w:r>
            <w:fldChar w:fldCharType="separate"/>
          </w:r>
          <w:r>
            <w:t>17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_Toc1554665235 </w:instrText>
          </w:r>
          <w:r>
            <w:rPr>
              <w:szCs w:val="24"/>
            </w:rPr>
            <w:fldChar w:fldCharType="separate"/>
          </w:r>
          <w:r>
            <w:rPr>
              <w:rFonts w:hint="eastAsia" w:ascii="黑体" w:hAnsi="黑体" w:eastAsia="黑体" w:cs="黑体"/>
              <w:bCs/>
              <w:szCs w:val="32"/>
            </w:rPr>
            <w:t>第三部分  风险评估结论</w:t>
          </w:r>
          <w:r>
            <w:tab/>
          </w:r>
          <w:r>
            <w:fldChar w:fldCharType="begin"/>
          </w:r>
          <w:r>
            <w:instrText xml:space="preserve"> PAGEREF _Toc1554665235 </w:instrText>
          </w:r>
          <w:r>
            <w:fldChar w:fldCharType="separate"/>
          </w:r>
          <w:r>
            <w:t>19</w:t>
          </w:r>
          <w:r>
            <w:fldChar w:fldCharType="end"/>
          </w:r>
          <w:r>
            <w:rPr>
              <w:szCs w:val="24"/>
            </w:rPr>
            <w:fldChar w:fldCharType="end"/>
          </w:r>
        </w:p>
        <w:p>
          <w:pPr>
            <w:kinsoku/>
            <w:autoSpaceDE/>
            <w:autoSpaceDN/>
            <w:spacing w:line="360" w:lineRule="auto"/>
            <w:jc w:val="both"/>
          </w:pPr>
          <w:r>
            <w:rPr>
              <w:szCs w:val="24"/>
            </w:rPr>
            <w:fldChar w:fldCharType="end"/>
          </w:r>
        </w:p>
      </w:sdtContent>
    </w:sdt>
    <w:p>
      <w:pPr>
        <w:rPr>
          <w:rFonts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p>
    <w:p>
      <w:pPr>
        <w:jc w:val="center"/>
        <w:rPr>
          <w:rFonts w:ascii="华文中宋" w:hAnsi="华文中宋" w:eastAsia="华文中宋" w:cs="Times New Roman"/>
          <w:b/>
          <w:bCs/>
          <w:sz w:val="18"/>
          <w:szCs w:val="18"/>
        </w:rPr>
      </w:pPr>
    </w:p>
    <w:p>
      <w:pPr>
        <w:spacing w:before="156" w:beforeLines="50" w:after="156" w:afterLines="5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关于《深圳市社会信用体系建设“十五五”行动计划》的风险评估报告</w:t>
      </w:r>
    </w:p>
    <w:p>
      <w:pPr>
        <w:kinsoku/>
        <w:autoSpaceDE/>
        <w:autoSpaceDN/>
        <w:spacing w:line="360" w:lineRule="auto"/>
        <w:jc w:val="both"/>
      </w:pP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黑体" w:hAnsi="黑体" w:eastAsia="黑体" w:cs="黑体"/>
          <w:b w:val="0"/>
          <w:bCs w:val="0"/>
          <w:sz w:val="36"/>
          <w:szCs w:val="36"/>
        </w:rPr>
      </w:pPr>
      <w:bookmarkStart w:id="2" w:name="_Toc79912590"/>
      <w:r>
        <w:rPr>
          <w:rFonts w:hint="eastAsia" w:ascii="黑体" w:hAnsi="黑体" w:eastAsia="黑体" w:cs="黑体"/>
          <w:b w:val="0"/>
          <w:bCs w:val="0"/>
          <w:sz w:val="36"/>
          <w:szCs w:val="36"/>
        </w:rPr>
        <w:t>第一部分  风险评估事项概述</w:t>
      </w:r>
      <w:bookmarkEnd w:id="2"/>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3" w:name="_Toc1282648572"/>
      <w:r>
        <w:rPr>
          <w:rFonts w:ascii="黑体" w:hAnsi="黑体" w:eastAsia="黑体" w:cs="黑体"/>
          <w:b w:val="0"/>
          <w:bCs w:val="0"/>
          <w:sz w:val="32"/>
          <w:szCs w:val="32"/>
        </w:rPr>
        <w:t>一、风险评估事项</w:t>
      </w:r>
      <w:bookmarkEnd w:id="3"/>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ascii="楷体" w:hAnsi="楷体" w:eastAsia="楷体" w:cs="楷体"/>
          <w:szCs w:val="32"/>
        </w:rPr>
      </w:pPr>
      <w:bookmarkStart w:id="4" w:name="_Toc1264428443"/>
      <w:r>
        <w:rPr>
          <w:rFonts w:hint="eastAsia" w:ascii="楷体_GB2312" w:hAnsi="楷体_GB2312" w:eastAsia="楷体_GB2312" w:cs="楷体_GB2312"/>
          <w:b w:val="0"/>
          <w:bCs/>
          <w:szCs w:val="32"/>
        </w:rPr>
        <w:t>（一）评估事项名称</w:t>
      </w:r>
      <w:bookmarkEnd w:id="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《深圳市社会信用体系建设“十五五”行动计划》（以下简称“《</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5" w:name="_Toc379518522"/>
      <w:r>
        <w:rPr>
          <w:rFonts w:hint="eastAsia" w:ascii="楷体_GB2312" w:hAnsi="楷体_GB2312" w:eastAsia="楷体_GB2312" w:cs="楷体_GB2312"/>
          <w:b w:val="0"/>
          <w:bCs/>
          <w:szCs w:val="32"/>
        </w:rPr>
        <w:t>（二）评估事项制定背景</w:t>
      </w:r>
      <w:bookmarkEnd w:id="5"/>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国家战略层面的新要求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2022年，中共中央办公厅、国务院办公厅印发《关于推进社会信用体系建设高质量发展促进形成新发展格局的意见》，标志着我国社会信用体系建设进入了高质量发展的新阶段。</w:t>
      </w:r>
      <w:r>
        <w:rPr>
          <w:rFonts w:hint="eastAsia" w:ascii="仿宋_GB2312" w:hAnsi="仿宋_GB2312" w:eastAsia="仿宋_GB2312" w:cs="仿宋_GB2312"/>
          <w:sz w:val="32"/>
          <w:szCs w:val="32"/>
          <w:lang w:val="en-US" w:eastAsia="zh-CN"/>
        </w:rPr>
        <w:t>2025年3月，</w:t>
      </w: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关于健全社会信用体系的意见</w:t>
      </w:r>
      <w:r>
        <w:rPr>
          <w:rFonts w:hint="eastAsia" w:ascii="仿宋_GB2312" w:hAnsi="仿宋_GB2312" w:eastAsia="仿宋_GB2312" w:cs="仿宋_GB2312"/>
          <w:sz w:val="32"/>
          <w:szCs w:val="32"/>
          <w:lang w:eastAsia="zh-CN"/>
        </w:rPr>
        <w:t>》，全面落实党的二十大、二十届三中全会精神，健全全覆盖法治化信用体系。</w:t>
      </w:r>
      <w:r>
        <w:rPr>
          <w:rFonts w:hint="eastAsia" w:ascii="仿宋_GB2312" w:hAnsi="仿宋_GB2312" w:eastAsia="仿宋_GB2312" w:cs="仿宋_GB2312"/>
          <w:sz w:val="32"/>
          <w:szCs w:val="32"/>
        </w:rPr>
        <w:t>国家明确提出，要推动信用体系与经济社会发展各环节深度融合，进一步发挥信用在提高资源配置效率、降低制度性交易成本、防范化解风险等方面的重要作用。</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广东省的区域部署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作为改革开放的前沿阵地，“十五五”时期明确提出要锚定建设富有活力和国际竞争力的一流湾区和世界级城市群目标。省里要求深圳充分发挥核心引擎作用，推动社会信用体系与粤港澳大湾区建设深度融合，探索跨境信用合作新路径。</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深圳先行示范的现实需求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十四五”，深圳虽已获批全国社会信用体系建设示范区，并在前海试点信用经济试验区，但随着城市治理复杂度的提升，仍面临诸多挑战：数据层面公共信用数据与社会数据融合度不够；市场层面信用服务产业市场化程度不高；社会层面自然人信用体系相对薄弱；“鹏城分”等应用覆盖面有待拓展；深港澳跨境信用协同尚处于起步阶段，规则互认存在壁垒。基于此，编制并实施好“十五五”行动计划，对于深圳破解发展瓶颈、构筑未来竞争优势具有决定性意义。</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6" w:name="_Toc1136568915"/>
      <w:r>
        <w:rPr>
          <w:rFonts w:hint="eastAsia" w:ascii="楷体_GB2312" w:hAnsi="楷体_GB2312" w:eastAsia="楷体_GB2312" w:cs="楷体_GB2312"/>
          <w:b w:val="0"/>
          <w:bCs/>
          <w:szCs w:val="32"/>
        </w:rPr>
        <w:t>（三）评估事项制定过程</w:t>
      </w:r>
      <w:bookmarkEnd w:id="6"/>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1.调研起草阶段：</w:t>
      </w:r>
      <w:r>
        <w:rPr>
          <w:rFonts w:hint="eastAsia" w:ascii="仿宋_GB2312" w:hAnsi="仿宋_GB2312" w:eastAsia="仿宋_GB2312" w:cs="仿宋_GB2312"/>
          <w:sz w:val="32"/>
          <w:szCs w:val="32"/>
          <w:lang w:val="en-US" w:eastAsia="zh-CN"/>
        </w:rPr>
        <w:t>2025年4月以来，全面对标国家、省、市关于社会信用体系建设的最新部署要求，系统梳理我市信用建设基础、现实短板和发展需求，聚焦制度建设、数据归集、信用监管、场景应用、服务赋能等重点方向，组织开展专题研究、部门协商和调研，形成《行动计划（草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2.有关部门和内部征求意见阶段：</w:t>
      </w:r>
      <w:r>
        <w:rPr>
          <w:rFonts w:hint="eastAsia" w:ascii="仿宋_GB2312" w:hAnsi="仿宋_GB2312" w:eastAsia="仿宋_GB2312" w:cs="仿宋_GB2312"/>
          <w:sz w:val="32"/>
          <w:szCs w:val="32"/>
          <w:lang w:val="en-US" w:eastAsia="zh-CN"/>
        </w:rPr>
        <w:t>2026年3月11日至3月20日，深圳市市场监督管理局面向全市各有关部门及内部有关部门征求意见，对征集到的意见进行了逐项研究，并作相应的修改，完善《行动计划》</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3.社会公众公开征求意见阶段：</w:t>
      </w:r>
      <w:r>
        <w:rPr>
          <w:rFonts w:hint="eastAsia" w:ascii="仿宋_GB2312" w:hAnsi="仿宋_GB2312" w:eastAsia="仿宋_GB2312" w:cs="仿宋_GB2312"/>
          <w:sz w:val="32"/>
          <w:szCs w:val="32"/>
          <w:lang w:val="en-US" w:eastAsia="zh-CN"/>
        </w:rPr>
        <w:t>深圳市市场监督管理局2026年4月13日发布征求意见通告，严格履行《重大行政决策程序暂行条例》要求的公众参与程序，面向社会公开征集意见，保障公众知情权与参与权。</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4.专家咨询论证阶段：</w:t>
      </w:r>
      <w:r>
        <w:rPr>
          <w:rFonts w:hint="eastAsia" w:ascii="仿宋_GB2312" w:hAnsi="仿宋_GB2312" w:eastAsia="仿宋_GB2312" w:cs="仿宋_GB2312"/>
          <w:sz w:val="32"/>
          <w:szCs w:val="32"/>
          <w:lang w:val="en-US" w:eastAsia="zh-CN"/>
        </w:rPr>
        <w:t>2026年5月9</w:t>
      </w:r>
      <w:bookmarkStart w:id="30" w:name="_GoBack"/>
      <w:bookmarkEnd w:id="30"/>
      <w:r>
        <w:rPr>
          <w:rFonts w:hint="eastAsia" w:ascii="仿宋_GB2312" w:hAnsi="仿宋_GB2312" w:eastAsia="仿宋_GB2312" w:cs="仿宋_GB2312"/>
          <w:sz w:val="32"/>
          <w:szCs w:val="32"/>
          <w:lang w:val="en-US" w:eastAsia="zh-CN"/>
        </w:rPr>
        <w:t>日，深圳市市场监督管理局邀请7名专家就《行动计划》出具书面专家论证意见，对专家意见进行吸收、采纳。</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7" w:name="_Toc550826031"/>
      <w:r>
        <w:rPr>
          <w:rFonts w:hint="eastAsia" w:ascii="楷体_GB2312" w:hAnsi="楷体_GB2312" w:eastAsia="楷体_GB2312" w:cs="楷体_GB2312"/>
          <w:b w:val="0"/>
          <w:bCs/>
          <w:szCs w:val="32"/>
        </w:rPr>
        <w:t>（四）评估事项主要内容</w:t>
      </w:r>
      <w:bookmarkEnd w:id="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系统谋划“十五五”时期我市社会信用体系建设总体思路、发展目标和重点任务，围绕完善信用制度、强化信用应用、健全监管机制、优化信用服务、弘扬诚信文化等方面，系统部署未来五年社会信用体系建设工作，助力打造市场化、法治化、国际化一流营商环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《行动计划》明确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总体要求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以法治为基、标准引领、场景创新为抓手，坚持市场主导、政府引导、法治保障、跨境协同原则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到2030年建成现代化信用体系，设定信用基础、监管、应用、服务、融资等核心指标。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度与数据建设上，健全地方信用法规政策体系，完善信用信息归集、共享、公开机制，深化政务、市场、社会、司法领域信用数据整合，推进信用数据标准化，筑牢信用建设数据基础，保障信息安全与主体权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信用监管与市场应用方面，构建以信用为基础的新型监管机制，健全信用分级分类监管、守信激励和失信惩戒制度，规范失信约束措施，严防惩戒泛化。拓展信用在政务服务、行政审批、政府采购、招标投标、融资信贷、公共资源交易、民生服务等场景应用，推广信用承诺制，降低制度性交易成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同时，强化重点领域信用治理，聚焦政务诚信、商务诚信、社会诚信、司法公信四大领域，整治市场失信、政务失范、网络失信等问题，规范平台经济、新业态信用秩序。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还提出优化信用服务供给，培育规范信用服务市场，发展信用评级、信用担保、信用修复等服务，健全信用修复机制，保障失信主体合法权益。加强诚信文化宣传教育，开展诚信主题活动，强化青少年诚信教育，营造全民守信氛围。此外，健全组织保障、考核督导、资金支持体系，统筹部门协同、区域联动，推动粤港澳大湾区信用合作，以信用建设赋能城市治理现代化，为深圳高质量发展提供信用支撑。</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8" w:name="_Toc1568002061"/>
      <w:r>
        <w:rPr>
          <w:rFonts w:ascii="黑体" w:hAnsi="黑体" w:eastAsia="黑体" w:cs="黑体"/>
          <w:b w:val="0"/>
          <w:bCs w:val="0"/>
          <w:sz w:val="32"/>
          <w:szCs w:val="32"/>
        </w:rPr>
        <w:t>二、评估目的</w:t>
      </w:r>
      <w:bookmarkEnd w:id="8"/>
    </w:p>
    <w:p>
      <w:pPr>
        <w:pStyle w:val="3"/>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rPr>
        <w:t>规范《</w:t>
      </w:r>
      <w:r>
        <w:rPr>
          <w:rFonts w:hint="eastAsia" w:ascii="仿宋_GB2312" w:hAnsi="仿宋_GB2312" w:eastAsia="仿宋_GB2312" w:cs="仿宋_GB2312"/>
          <w:lang w:eastAsia="zh-CN"/>
        </w:rPr>
        <w:t>行动计划</w:t>
      </w:r>
      <w:r>
        <w:rPr>
          <w:rFonts w:hint="eastAsia" w:ascii="仿宋_GB2312" w:hAnsi="仿宋_GB2312" w:eastAsia="仿宋_GB2312" w:cs="仿宋_GB2312"/>
        </w:rPr>
        <w:t>》的制定程序，推进《</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》制定的科学化、民主化和法治化，提高《</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》制定的水平和质量。从源头上预防、减少和消除影响社会稳定的隐患，维护公共利益和社会秩序，促进和谐稳定的发展环境。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9" w:name="_Toc1500734574"/>
      <w:r>
        <w:rPr>
          <w:rFonts w:ascii="黑体" w:hAnsi="黑体" w:eastAsia="黑体" w:cs="黑体"/>
          <w:b w:val="0"/>
          <w:bCs w:val="0"/>
          <w:sz w:val="32"/>
          <w:szCs w:val="32"/>
        </w:rPr>
        <w:t>三、评估依据</w:t>
      </w:r>
      <w:bookmarkEnd w:id="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重大行政决策程序暂行条例》（国务院令第七百一十三号）；《广东省重大行政决策程序规定》（广东省人民政府令第288号）；《深圳市重大行政决策程序实施办法》（深府规〔2023〕2号）；《深圳市重大事项社会稳定风险评估办法》（深办〔2008〕6号）。</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0" w:name="_Toc766842378"/>
      <w:r>
        <w:rPr>
          <w:rFonts w:ascii="黑体" w:hAnsi="黑体" w:eastAsia="黑体" w:cs="黑体"/>
          <w:b w:val="0"/>
          <w:bCs w:val="0"/>
          <w:sz w:val="32"/>
          <w:szCs w:val="32"/>
        </w:rPr>
        <w:t>四、评估要点</w:t>
      </w:r>
      <w:bookmarkEnd w:id="1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的整体合法性、合理性、可行性、风险可控性进行综合评估。主要包括：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的制定主体、制定程序是否符合规定，是否具有明确的上位法依据；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是否符合企业</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的利益诉求，</w:t>
      </w:r>
      <w:r>
        <w:rPr>
          <w:rFonts w:hint="default" w:ascii="仿宋_GB2312" w:hAnsi="仿宋_GB2312" w:eastAsia="仿宋_GB2312" w:cs="仿宋_GB2312"/>
          <w:sz w:val="32"/>
          <w:szCs w:val="32"/>
          <w:lang w:val="en"/>
        </w:rPr>
        <w:t>能否与本地经济社会发展要求相适应</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《行动计划》的实施时机是否周密、成熟，符合地区、行业发展需求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在施行中可能遇到的争议，能否依据法律、政策进行充分合理解释、有力论证和详细说明；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）有可能引发不稳定因素的其他方面。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1" w:name="_Toc345781786"/>
      <w:r>
        <w:rPr>
          <w:rFonts w:ascii="黑体" w:hAnsi="黑体" w:eastAsia="黑体" w:cs="黑体"/>
          <w:b w:val="0"/>
          <w:bCs w:val="0"/>
          <w:sz w:val="32"/>
          <w:szCs w:val="32"/>
        </w:rPr>
        <w:t>五、评估方法</w:t>
      </w:r>
      <w:bookmarkEnd w:id="1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采用定性分析法，组织收集决策背景、信息、数据等资料进行综合分析研究，全面查找风险源、风险点，并逐一进行评估。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highlight w:val="yellow"/>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rPr>
      </w:pPr>
    </w:p>
    <w:p>
      <w:pPr>
        <w:keepNext w:val="0"/>
        <w:keepLines w:val="0"/>
        <w:pageBreakBefore w:val="0"/>
        <w:widowControl/>
        <w:wordWrap/>
        <w:overflowPunct/>
        <w:topLinePunct w:val="0"/>
        <w:bidi w:val="0"/>
        <w:adjustRightInd w:val="0"/>
        <w:snapToGrid w:val="0"/>
        <w:spacing w:line="560" w:lineRule="exact"/>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outlineLvl w:val="0"/>
        <w:rPr>
          <w:rFonts w:ascii="仿宋_GB2312" w:hAnsi="仿宋_GB2312" w:eastAsia="仿宋_GB2312" w:cs="仿宋_GB2312"/>
          <w:b w:val="0"/>
          <w:bCs w:val="0"/>
          <w:sz w:val="36"/>
          <w:szCs w:val="36"/>
        </w:rPr>
      </w:pPr>
      <w:bookmarkStart w:id="12" w:name="_Toc764844850"/>
      <w:r>
        <w:rPr>
          <w:rFonts w:hint="eastAsia" w:ascii="黑体" w:hAnsi="黑体" w:eastAsia="黑体" w:cs="黑体"/>
          <w:b w:val="0"/>
          <w:bCs w:val="0"/>
          <w:sz w:val="36"/>
          <w:szCs w:val="36"/>
        </w:rPr>
        <w:t>第二部分  风险评估内容</w:t>
      </w:r>
      <w:bookmarkEnd w:id="1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的内容，分别就合法性、合理性、可行性、可控性进行综合分析研判：</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3" w:name="_Toc2090459076"/>
      <w:r>
        <w:rPr>
          <w:rFonts w:ascii="黑体" w:hAnsi="黑体" w:eastAsia="黑体" w:cs="黑体"/>
          <w:b w:val="0"/>
          <w:bCs w:val="0"/>
          <w:sz w:val="32"/>
          <w:szCs w:val="32"/>
        </w:rPr>
        <w:t>一、合法性评估</w:t>
      </w:r>
      <w:bookmarkEnd w:id="1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合法性评估主要在于评判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的相关主体、制定依据以及制定程序等是否符合相关法律法规的规定。</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4" w:name="_Toc268953659"/>
      <w:r>
        <w:rPr>
          <w:rFonts w:hint="eastAsia" w:ascii="楷体_GB2312" w:hAnsi="楷体_GB2312" w:eastAsia="楷体_GB2312" w:cs="楷体_GB2312"/>
          <w:b w:val="0"/>
          <w:bCs/>
          <w:szCs w:val="32"/>
        </w:rPr>
        <w:t>（一）决策承办单位主体资格</w:t>
      </w:r>
      <w:bookmarkEnd w:id="1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根据《深圳经济特区社会信用条例》第六条规定：“市市场监管部门是本市社会信用体系建设工作主管部门，负责社会信用体系建设工作的组织实施、指导协调和监督管理。”</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深圳市社会信用体系建设</w:t>
      </w:r>
      <w:r>
        <w:rPr>
          <w:rFonts w:hint="eastAsia" w:ascii="仿宋_GB2312" w:hAnsi="仿宋_GB2312" w:eastAsia="仿宋_GB2312" w:cs="仿宋_GB2312"/>
          <w:sz w:val="32"/>
          <w:szCs w:val="32"/>
          <w:lang w:eastAsia="zh-CN"/>
        </w:rPr>
        <w:t>统筹联席会议的主要职责为“负责统筹协调全市社会信用体系建设工作；研究重大政策措施；协调解决推进社会信用体系建设工作中的重大事项和问题；指导、督促、检查有关政策措施的落实”，其牵头单位为深圳市</w:t>
      </w:r>
      <w:r>
        <w:rPr>
          <w:rFonts w:hint="eastAsia" w:ascii="仿宋_GB2312" w:hAnsi="仿宋_GB2312" w:eastAsia="仿宋_GB2312" w:cs="仿宋_GB2312"/>
          <w:sz w:val="32"/>
          <w:szCs w:val="32"/>
        </w:rPr>
        <w:t>市市场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，联席会议办公室也设在深圳市市市场监督管理局。因此，由深圳市市场监督管理局负责</w:t>
      </w:r>
      <w:r>
        <w:rPr>
          <w:rFonts w:hint="eastAsia" w:ascii="仿宋_GB2312" w:hAnsi="仿宋_GB2312" w:eastAsia="仿宋_GB2312" w:cs="仿宋_GB2312"/>
          <w:sz w:val="32"/>
          <w:szCs w:val="32"/>
        </w:rPr>
        <w:t>承担《行动计划》的编制职责，主体资格合法，权限来源清晰。</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5" w:name="_Toc24473847"/>
      <w:r>
        <w:rPr>
          <w:rFonts w:hint="eastAsia" w:ascii="楷体_GB2312" w:hAnsi="楷体_GB2312" w:eastAsia="楷体_GB2312" w:cs="楷体_GB2312"/>
          <w:b w:val="0"/>
          <w:bCs/>
          <w:szCs w:val="32"/>
        </w:rPr>
        <w:t>（二）制定依据</w:t>
      </w:r>
      <w:bookmarkEnd w:id="1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《行动计划》以国家战略部署、法律法规规章、地方发展规划及深圳实践需求为核心依据，科学编制、系统谋划。</w:t>
      </w:r>
      <w:r>
        <w:rPr>
          <w:rFonts w:hint="eastAsia" w:ascii="仿宋_GB2312" w:hAnsi="仿宋_GB2312" w:eastAsia="仿宋_GB2312" w:cs="仿宋_GB2312"/>
          <w:b/>
          <w:bCs/>
          <w:sz w:val="32"/>
          <w:szCs w:val="32"/>
        </w:rPr>
        <w:t>一是紧扣国家顶层设计</w:t>
      </w:r>
      <w:r>
        <w:rPr>
          <w:rFonts w:hint="eastAsia" w:ascii="仿宋_GB2312" w:hAnsi="仿宋_GB2312" w:eastAsia="仿宋_GB2312" w:cs="仿宋_GB2312"/>
          <w:sz w:val="32"/>
          <w:szCs w:val="32"/>
        </w:rPr>
        <w:t>，严格遵循党的二十大及中央关于健全社会信用体系、推进高质量发展的决策部署，全面落实中共中央办公厅、国务院办公厅关于社会信用体系建设高质量发展的系列政策文件，严格对标《中共中央办公厅 国务院办公厅关于健全社会信用体系的意见》《关于推进社会信用体系建设高质量发展促进形成新发展格局的意见》等国家顶层设计，</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国家信用体系建设总体方向与重点任务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，确保顶层</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落地见效。</w:t>
      </w:r>
      <w:r>
        <w:rPr>
          <w:rFonts w:hint="eastAsia" w:ascii="仿宋_GB2312" w:hAnsi="仿宋_GB2312" w:eastAsia="仿宋_GB2312" w:cs="仿宋_GB2312"/>
          <w:b/>
          <w:bCs/>
          <w:sz w:val="32"/>
          <w:szCs w:val="32"/>
        </w:rPr>
        <w:t>二是恪守法治底线</w:t>
      </w:r>
      <w:r>
        <w:rPr>
          <w:rFonts w:hint="eastAsia" w:ascii="仿宋_GB2312" w:hAnsi="仿宋_GB2312" w:eastAsia="仿宋_GB2312" w:cs="仿宋_GB2312"/>
          <w:sz w:val="32"/>
          <w:szCs w:val="32"/>
        </w:rPr>
        <w:t>，以《征信业管理条例》等国家法规为遵循，严格执行</w:t>
      </w:r>
      <w:r>
        <w:rPr>
          <w:rFonts w:hint="eastAsia" w:ascii="仿宋_GB2312" w:hAnsi="仿宋_GB2312" w:eastAsia="仿宋_GB2312" w:cs="仿宋_GB2312"/>
          <w:sz w:val="32"/>
          <w:szCs w:val="32"/>
          <w:lang w:eastAsia="zh-CN"/>
        </w:rPr>
        <w:t>《广东省社会信用条例》</w:t>
      </w:r>
      <w:r>
        <w:rPr>
          <w:rFonts w:hint="eastAsia" w:ascii="仿宋_GB2312" w:hAnsi="仿宋_GB2312" w:eastAsia="仿宋_GB2312" w:cs="仿宋_GB2312"/>
          <w:sz w:val="32"/>
          <w:szCs w:val="32"/>
        </w:rPr>
        <w:t>《深圳经济特区社会信用条例》法定规范，将信用信息管理、主体权益保护、失信约束等法定要求贯穿始终，保障行动计划合法合规。</w:t>
      </w:r>
      <w:r>
        <w:rPr>
          <w:rFonts w:hint="eastAsia" w:ascii="仿宋_GB2312" w:hAnsi="仿宋_GB2312" w:eastAsia="仿宋_GB2312" w:cs="仿宋_GB2312"/>
          <w:b/>
          <w:bCs/>
          <w:sz w:val="32"/>
          <w:szCs w:val="32"/>
        </w:rPr>
        <w:t>三是衔接地方发展大局</w:t>
      </w:r>
      <w:r>
        <w:rPr>
          <w:rFonts w:hint="eastAsia" w:ascii="仿宋_GB2312" w:hAnsi="仿宋_GB2312" w:eastAsia="仿宋_GB2312" w:cs="仿宋_GB2312"/>
          <w:sz w:val="32"/>
          <w:szCs w:val="32"/>
        </w:rPr>
        <w:t>，紧密衔接先行示范区建设、优化营商环境、超大城市治理现代化等中心工作，延续“十四五”信用建设成效，贴合深圳经济社会发展全局。</w:t>
      </w:r>
      <w:r>
        <w:rPr>
          <w:rFonts w:hint="eastAsia" w:ascii="仿宋_GB2312" w:hAnsi="仿宋_GB2312" w:eastAsia="仿宋_GB2312" w:cs="仿宋_GB2312"/>
          <w:b/>
          <w:bCs/>
          <w:sz w:val="32"/>
          <w:szCs w:val="32"/>
        </w:rPr>
        <w:t>四是立足深圳实际需求，</w:t>
      </w:r>
      <w:r>
        <w:rPr>
          <w:rFonts w:hint="eastAsia" w:ascii="仿宋_GB2312" w:hAnsi="仿宋_GB2312" w:eastAsia="仿宋_GB2312" w:cs="仿宋_GB2312"/>
          <w:sz w:val="32"/>
          <w:szCs w:val="32"/>
        </w:rPr>
        <w:t>基于深圳社会信用体系建设实践基础，聚焦信用信息共享、信用应用拓展、信用服务培育等重点领域短板，适配高质量发展与城市治理现代化现实需要，确保规划务实可行。</w:t>
      </w:r>
      <w:r>
        <w:rPr>
          <w:rFonts w:hint="eastAsia" w:ascii="仿宋_GB2312" w:hAnsi="仿宋_GB2312" w:eastAsia="仿宋_GB2312" w:cs="仿宋_GB2312"/>
          <w:sz w:val="32"/>
          <w:szCs w:val="32"/>
          <w:lang w:eastAsia="zh-CN"/>
        </w:rPr>
        <w:t>综上，</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有明确的上位法依据。</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6" w:name="_Toc1536200215"/>
      <w:r>
        <w:rPr>
          <w:rFonts w:hint="eastAsia" w:ascii="楷体_GB2312" w:hAnsi="楷体_GB2312" w:eastAsia="楷体_GB2312" w:cs="楷体_GB2312"/>
          <w:b w:val="0"/>
          <w:bCs/>
          <w:szCs w:val="32"/>
        </w:rPr>
        <w:t>（三）制定程序</w:t>
      </w:r>
      <w:bookmarkEnd w:id="1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如前所述，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由深圳市市场监督管理局起草，期间历经调研起草阶段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起草单位内部意见征求阶段、</w:t>
      </w:r>
      <w:r>
        <w:rPr>
          <w:rFonts w:hint="eastAsia" w:ascii="仿宋_GB2312" w:hAnsi="仿宋_GB2312" w:eastAsia="仿宋_GB2312" w:cs="仿宋_GB2312"/>
          <w:sz w:val="32"/>
          <w:szCs w:val="32"/>
          <w:lang w:eastAsia="zh-CN"/>
        </w:rPr>
        <w:t>有关部门征求意见阶段、</w:t>
      </w:r>
      <w:r>
        <w:rPr>
          <w:rFonts w:hint="eastAsia" w:ascii="仿宋_GB2312" w:hAnsi="仿宋_GB2312" w:eastAsia="仿宋_GB2312" w:cs="仿宋_GB2312"/>
          <w:sz w:val="32"/>
          <w:szCs w:val="32"/>
        </w:rPr>
        <w:t>社会公众公开征求意见阶段以及专家论证阶段，并进行风险评估，</w:t>
      </w:r>
      <w:r>
        <w:rPr>
          <w:rFonts w:hint="eastAsia" w:ascii="仿宋_GB2312" w:hAnsi="仿宋_GB2312" w:eastAsia="仿宋_GB2312" w:cs="仿宋_GB2312"/>
          <w:sz w:val="32"/>
          <w:szCs w:val="32"/>
          <w:lang w:eastAsia="zh-CN"/>
        </w:rPr>
        <w:t>严格履行了</w:t>
      </w:r>
      <w:r>
        <w:rPr>
          <w:rFonts w:hint="eastAsia" w:ascii="仿宋_GB2312" w:hAnsi="仿宋_GB2312" w:eastAsia="仿宋_GB2312" w:cs="仿宋_GB2312"/>
          <w:sz w:val="32"/>
          <w:szCs w:val="32"/>
        </w:rPr>
        <w:t>《深圳市人民政府重大行政决策程序规定》相关程序规定。</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7" w:name="_Toc1407043158"/>
      <w:r>
        <w:rPr>
          <w:rFonts w:ascii="黑体" w:hAnsi="黑体" w:eastAsia="黑体" w:cs="黑体"/>
          <w:b w:val="0"/>
          <w:bCs w:val="0"/>
          <w:sz w:val="32"/>
          <w:szCs w:val="32"/>
        </w:rPr>
        <w:t>二、合理性评估</w:t>
      </w:r>
      <w:bookmarkEnd w:id="1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合理性评估在于评判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w:t>
      </w:r>
      <w:r>
        <w:rPr>
          <w:rFonts w:hint="eastAsia" w:ascii="仿宋_GB2312" w:hAnsi="仿宋_GB2312" w:eastAsia="仿宋_GB2312" w:cs="仿宋_GB2312"/>
          <w:sz w:val="32"/>
          <w:szCs w:val="32"/>
          <w:lang w:eastAsia="zh-CN"/>
        </w:rPr>
        <w:t>，即评判《行动计划》是否符合企业、群众的利益诉求，能否与本地经济社会发展要求相适应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综合起草情况及实际工作情况，</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制定的必要性可以归纳为以下三个方面：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18" w:name="_Toc1925364630"/>
      <w:r>
        <w:rPr>
          <w:rFonts w:hint="eastAsia" w:ascii="楷体_GB2312" w:hAnsi="楷体_GB2312" w:eastAsia="楷体_GB2312" w:cs="楷体_GB2312"/>
          <w:b w:val="0"/>
          <w:bCs/>
          <w:sz w:val="32"/>
          <w:szCs w:val="32"/>
        </w:rPr>
        <w:t>（一）落实国家战略部署、服务中国式现代化建设的必然要求</w:t>
      </w:r>
      <w:bookmarkEnd w:id="1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体系是社会主义市场经济的重要基石，也是推进国家治理体系和治理能力现代化的关键支撑。党中央、国务院多次强调要健全社会信用体系、建设信用经济、优化营商环境，把信用建设摆在服务高质量发展、构建新发展格局的突出位置。党的二十大及二十届三中全会明确提出完善市场经济基础制度、健全社会信用体系，为新时代信用建设提供了根本遵循。国家相继出台关于推进社会信用体系建设高质量发展、健全社会信用体系的系列政策文件，对“十五五”时期信用体系建设作出系统性部署，推动信用建设从“建框架”向“强效能”跨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深圳作为中国特色社会主义先行示范区、粤港澳大湾区核心引擎城市，必须在落实国家战略上走在前、作示范。制定《行动计划》，是深圳贯彻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中央决策部署、落实《征信业管理条例》《深圳经济特区社会信用条例》等法律法规的具体举措。通过系统谋划未来五年信用体系建设目标任务，能够更好把国家顶层设计转化为深圳实践成果，助力全国统一大市场建设，为中国式现代化提供深圳信用方案。同时，在当前外部环境复杂多变、不确定性明显上升的背景下，加快信用体系建设，有利于增强经济发展韧性、稳定市场预期、防范化解风险，更好服务国家发展大局。</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9" w:name="_Toc269391218"/>
      <w:r>
        <w:rPr>
          <w:rFonts w:hint="eastAsia" w:ascii="楷体_GB2312" w:hAnsi="楷体_GB2312" w:eastAsia="楷体_GB2312" w:cs="楷体_GB2312"/>
          <w:b w:val="0"/>
          <w:bCs/>
          <w:szCs w:val="32"/>
        </w:rPr>
        <w:t>（二）推动深圳高质量发展、打造国际一流营商环境的迫切需要</w:t>
      </w:r>
      <w:bookmarkEnd w:id="1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场经济活跃、市场主体数量庞大、创新要素高度集聚，截至2025年底商事主体总量突破465万户，创业密度稳居全国首位。高质量发展、高水平开放、高效能治理，都必须以良好信用环境为前提。信用是降低交易成本、提高资源配置效率、激发市场活力的关键要素。近年来深圳信用建设成效显著，2025年城市综合信用指数达89.18分、位居全国第一，信用融资规模突破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亿元，信用服务实体经济能力持续增强。但对标先行示范区和全球一流城市要求，仍存在信用信息共享不够充分、信用服务市场不够成熟、信用应用场景不够深入、信用监管效能有待提升、中小微企业信用融资难融资贵尚未根本解决等短板弱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深圳建设全球标杆城市、实现高质量发展的关键阶段，比以往任何时候都更需要以信用赋能发展、以信用优化环境、以信用激发活力。制定《行动计划》，有利于系统破解当前信用建设瓶颈，打通部门间“信息孤岛”，推动信用数据共享共用，构建覆盖全主体、全领域、全流程的信用体系；有利于深化信用在融资、政务、商务、民生、监管等领域的创新应用，持续扩大“信用变现”成效，为中小微企业和个体工商户提供更加便捷高效的信用服务；有利于构建“守信受益、失信受限”的良好生态，降低制度性交易成本，稳定市场主体预期，吸引高端要素集聚，打造市场化、法治化、国际化一流营商环境，为深圳经济持续稳定增长、创新驱动发展、产业结构优化升级提供坚实信用支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20" w:name="_Toc1826532663"/>
      <w:r>
        <w:rPr>
          <w:rFonts w:hint="eastAsia" w:ascii="楷体_GB2312" w:hAnsi="楷体_GB2312" w:eastAsia="楷体_GB2312" w:cs="楷体_GB2312"/>
          <w:b w:val="0"/>
          <w:bCs/>
          <w:sz w:val="32"/>
          <w:szCs w:val="32"/>
        </w:rPr>
        <w:t>（三）提升超大城市治理现代化水平、增进民生福祉的现实选择</w:t>
      </w:r>
      <w:bookmarkEnd w:id="2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人口密集、要素流动频繁、新业态新模式不断涌现，城市治理面临复杂性、多样性、风险性显著上升的挑战。信用治理是超大城市现代化治理的重要工具，能够推动治理模式从“事后处置”向“事前预防”、从“刚性管控”向“柔性治理”、从“政府主导”向“社会共治”转变。当前深圳在政务诚信、商务诚信、社会诚信、司法公信等领域仍存在薄弱环节，少数领域失信行为时有发生，信用在城市治理中的基础性、先导性作用尚未充分发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深圳将加快推进超大城市治理现代化，构建共建共治共享治理格局，提升城市治理科学化、精细化、智能化水平。制定《行动计划》，是深圳完善城市治理体系、提升治理能力的重要抓手。通过健全政务信用管理体系，强化政府守信践诺，能够提升政府公信力和治理效能；通过完善行业信用监管，推动信用与监管深度融合，能够提高市场监管精准性和有效性，防范化解重点领域风险；通过加强社会诚信建设，弘扬诚信文化，能够培育诚实守信社会风尚，提升市民文明素养和城市软实力；通过拓展信用在教育、医疗、养老、交通、住房等民生领域应用，能够让群众享受更多信用便利，增强获得感、幸福感、安全感。同时，推进信用体系建设，有利于强化跨部门、跨领域、跨区域协同治理，助力粤港澳大湾区信用合作，提升城市群治理一体化水平，为建设宜居、韧性、智慧的现代化城市提供有力保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1" w:name="_Toc437169410"/>
      <w:r>
        <w:rPr>
          <w:rFonts w:ascii="黑体" w:hAnsi="黑体" w:eastAsia="黑体" w:cs="黑体"/>
          <w:b w:val="0"/>
          <w:bCs w:val="0"/>
          <w:sz w:val="32"/>
          <w:szCs w:val="32"/>
        </w:rPr>
        <w:t>三、可行性评估</w:t>
      </w:r>
      <w:bookmarkEnd w:id="2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可行性评估在于评判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的实施时机是否周密、成熟，符合地区、行业发展需求。决策承办单位在总结此前实践经验的基础上，完成</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的起草，其实施的可行性主要体现在以下</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个方面：</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2" w:name="_bookmark24"/>
      <w:bookmarkEnd w:id="22"/>
      <w:bookmarkStart w:id="23" w:name="_Toc764093809"/>
      <w:r>
        <w:rPr>
          <w:rFonts w:hint="eastAsia" w:ascii="楷体_GB2312" w:hAnsi="楷体_GB2312" w:eastAsia="楷体_GB2312" w:cs="楷体_GB2312"/>
          <w:b w:val="0"/>
          <w:bCs/>
          <w:szCs w:val="32"/>
        </w:rPr>
        <w:t>（一）政策法规体系完备，具备坚实制度保障基础</w:t>
      </w:r>
      <w:bookmarkEnd w:id="2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深圳市经过多年持续推进社会信用体系建设，已形成国家顶层政策+地方法律法规+配套制度规范的完整制度体系，为“十五五”行动计划落地实施提供了稳固法治与政策支撑。国家层面先后出台健全社会信用体系、推进信用建设高质量发展、优化营商环境、加强守信联合激励和失信联合惩戒等一系列纲领性文件，明确了</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十五五</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时期信用建设的总体方向、基本原则和重点任务，为深圳开展相关工作划定政策框架、提供顶层指导。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方层面，《深圳经济特区社会信用条例》正式实施，从立法层面确立了信用信息归集、信用评价、信用监管、失信约束、信用修复、权益保护等全链条制度规则，成为全市信用建设的根本法律遵循。同时，深圳已配套出台信用信息管理、行业信用分级分类监管、信用修复管理、政务诚信建设、信用服务市场培育等一系列文件，构建起覆盖政务、商务、社会、司法各领域的制度细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此外，深圳作为中国特色社会主义先行示范区，拥有特区立法权和改革先行先试权限，可在信用数据共享、跨区域信用联动、新业态信用监管、信用应用场景创新等方面突破常规机制束缚，开展制度创新和试点探索。完备的政策法规体系、成熟的制度运行机制以及特区改革授权优势，确保</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各项任务于法有据、有规可依、改革可行，具备全面落地实施的制度条件</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4" w:name="_Toc1213197561"/>
      <w:r>
        <w:rPr>
          <w:rFonts w:hint="eastAsia" w:ascii="楷体_GB2312" w:hAnsi="楷体_GB2312" w:eastAsia="楷体_GB2312" w:cs="楷体_GB2312"/>
          <w:b w:val="0"/>
          <w:bCs/>
          <w:szCs w:val="32"/>
        </w:rPr>
        <w:t>（二）前期建设基础扎实，具备成熟工作实践支撑</w:t>
      </w:r>
      <w:bookmarkEnd w:id="2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“十四五”期间深圳市社会信用体系建设取得显著成效，为“十五五”时期接续提升打下坚实硬件、数据和工作基础。</w:t>
      </w:r>
      <w:r>
        <w:rPr>
          <w:rFonts w:hint="eastAsia" w:ascii="仿宋_GB2312" w:hAnsi="仿宋_GB2312" w:eastAsia="仿宋_GB2312" w:cs="仿宋_GB2312"/>
          <w:b/>
          <w:bCs/>
          <w:snapToGrid/>
          <w:kern w:val="2"/>
          <w:sz w:val="32"/>
          <w:szCs w:val="32"/>
        </w:rPr>
        <w:t>一是信用基础设施完善</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成统一的公共信用信息平台，实现政务部门、事业单位、重点行业机构信用信息常态化归集、共享和公示，建成覆盖企业、自然人、社会组织的信用主体数据库，数据体量、归集范围、更新效率均位居全国前列，具备支撑</w:t>
      </w:r>
      <w:r>
        <w:rPr>
          <w:rFonts w:hint="eastAsia" w:ascii="仿宋_GB2312" w:hAnsi="仿宋_GB2312" w:eastAsia="仿宋_GB2312" w:cs="仿宋_GB2312"/>
          <w:snapToGrid/>
          <w:kern w:val="2"/>
          <w:sz w:val="32"/>
          <w:szCs w:val="32"/>
          <w:lang w:eastAsia="zh-CN"/>
        </w:rPr>
        <w:t>“十五五”时期</w:t>
      </w:r>
      <w:r>
        <w:rPr>
          <w:rFonts w:hint="eastAsia" w:ascii="仿宋_GB2312" w:hAnsi="仿宋_GB2312" w:eastAsia="仿宋_GB2312" w:cs="仿宋_GB2312"/>
          <w:snapToGrid/>
          <w:kern w:val="2"/>
          <w:sz w:val="32"/>
          <w:szCs w:val="32"/>
        </w:rPr>
        <w:t>更大范围、更深层次数据应用的技术底座。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二是信用应用场景日趋丰富</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深圳已在行政审批、政府采购、招标投标、市场监管、金融融资、民生服务、城市治理等领域推行信用分级分类监管机制，信用融资、无感审批、联合奖惩等模式成熟运行，市场主体和市民对信用应用接受度高、使用习惯逐步养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三是工作机制运行顺畅</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全市已建立跨部门、跨区、跨行业的社会信用体系建设统筹协调机制，形成</w:t>
      </w:r>
      <w:r>
        <w:rPr>
          <w:rFonts w:hint="eastAsia" w:ascii="仿宋_GB2312" w:hAnsi="仿宋_GB2312" w:eastAsia="仿宋_GB2312" w:cs="仿宋_GB2312"/>
          <w:snapToGrid/>
          <w:kern w:val="2"/>
          <w:sz w:val="32"/>
          <w:szCs w:val="32"/>
          <w:lang w:eastAsia="zh-CN"/>
        </w:rPr>
        <w:t>市场监管</w:t>
      </w:r>
      <w:r>
        <w:rPr>
          <w:rFonts w:hint="eastAsia" w:ascii="仿宋_GB2312" w:hAnsi="仿宋_GB2312" w:eastAsia="仿宋_GB2312" w:cs="仿宋_GB2312"/>
          <w:snapToGrid/>
          <w:kern w:val="2"/>
          <w:sz w:val="32"/>
          <w:szCs w:val="32"/>
        </w:rPr>
        <w:t>部门牵头、各职能部门分工负责、各区协同推进、第三方机构广泛参与的工作格局，积累了任务分解、年度考核、督导落实的成熟工作经验。同时，深圳市场主体集聚、市场化程度高，信用服务机构、征信机构、</w:t>
      </w:r>
      <w:r>
        <w:rPr>
          <w:rFonts w:hint="eastAsia" w:ascii="仿宋_GB2312" w:hAnsi="仿宋_GB2312" w:eastAsia="仿宋_GB2312" w:cs="仿宋_GB2312"/>
          <w:snapToGrid/>
          <w:kern w:val="2"/>
          <w:sz w:val="32"/>
          <w:szCs w:val="32"/>
          <w:lang w:eastAsia="zh-CN"/>
        </w:rPr>
        <w:t>信用社会组织</w:t>
      </w:r>
      <w:r>
        <w:rPr>
          <w:rFonts w:hint="eastAsia" w:ascii="仿宋_GB2312" w:hAnsi="仿宋_GB2312" w:eastAsia="仿宋_GB2312" w:cs="仿宋_GB2312"/>
          <w:snapToGrid/>
          <w:kern w:val="2"/>
          <w:sz w:val="32"/>
          <w:szCs w:val="32"/>
        </w:rPr>
        <w:t>发展活跃，能够承接信用评价、场景运营、诚信宣传等社会化服务任务，为</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落地提供充足市场力量和实践经验支撑。</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5" w:name="_Toc401322252"/>
      <w:r>
        <w:rPr>
          <w:rFonts w:hint="eastAsia" w:ascii="楷体_GB2312" w:hAnsi="楷体_GB2312" w:eastAsia="楷体_GB2312" w:cs="楷体_GB2312"/>
          <w:b w:val="0"/>
          <w:bCs/>
          <w:szCs w:val="32"/>
        </w:rPr>
        <w:t>（三）城市综合优势突出，具备环境与要素保障条件</w:t>
      </w:r>
      <w:bookmarkEnd w:id="2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深圳自身城市综合优势、治理能力、数字化水平和湾区区位优势，为</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实施提供良好外部环境和要素保障。</w:t>
      </w:r>
      <w:r>
        <w:rPr>
          <w:rFonts w:hint="eastAsia" w:ascii="仿宋_GB2312" w:hAnsi="仿宋_GB2312" w:eastAsia="仿宋_GB2312" w:cs="仿宋_GB2312"/>
          <w:b/>
          <w:bCs/>
          <w:sz w:val="32"/>
          <w:szCs w:val="32"/>
        </w:rPr>
        <w:t>一是数字城市底座领先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智慧城市、数字政府建设走在全国前列，大数据、人工智能、区块链、云计算等数字技术应用广泛，可依托城市大数据中心、政务云平台，实现信用数据智能归集、精准画像、智慧监管、无感应用，以数字化赋能信用体系提质升级，为《行动计划》智能化落地提供技术支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二是营商环境与社会氛围良好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市场化、法治化、国际化营商环境持续优化，市场主体守信经营意识较强，全社会诚信文化氛围浓厚，政府、企业、市民对加强信用建设、完善信用治理具有高度共识，能够主动配合落实各项信用规则和监管要求，为《行动计划》推行减少阻力、营造良好社会基础。</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三是湾区协同与资源集聚优势明显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作为粤港澳大湾区核心城市，具备推动跨城市信用信息共享、联合奖惩互认、信用服务市场互通的区位条件，可依托湾区一体化发展契机，拓展信用合作空间、放大建设成效。同时，深圳人才、资本、科创资源高度集聚，能够为信用标准制定、技术研发、场景创新、人才培养提供充足要素保障。综合来看，制度基础、实践基础、技术基础、社会基础和区位要素条件齐备，《行动计划》具备全面、有序、高效实施的充分可行性。</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6" w:name="_Toc368426921"/>
      <w:r>
        <w:rPr>
          <w:rFonts w:ascii="黑体" w:hAnsi="黑体" w:eastAsia="黑体" w:cs="黑体"/>
          <w:b w:val="0"/>
          <w:bCs w:val="0"/>
          <w:sz w:val="32"/>
          <w:szCs w:val="32"/>
        </w:rPr>
        <w:t>四、可控性评估</w:t>
      </w:r>
      <w:bookmarkEnd w:id="2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可控性评估在于确定</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的施行是否存在公共安全隐患、引发群体性事件、造成重大社会负面影响等社会稳定问题，以及对可能引发社会稳定风险的可控程度、预防和化解相应措施。</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7" w:name="_Toc721332926"/>
      <w:r>
        <w:rPr>
          <w:rFonts w:hint="eastAsia" w:ascii="楷体_GB2312" w:hAnsi="楷体_GB2312" w:eastAsia="楷体_GB2312" w:cs="楷体_GB2312"/>
          <w:b w:val="0"/>
          <w:bCs/>
          <w:szCs w:val="32"/>
        </w:rPr>
        <w:t>（一）可能存在的风险点</w:t>
      </w:r>
      <w:bookmarkEnd w:id="2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信用信息归集共享不充分、数据质量偏低风险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期间信用体系建设需实现政务、行业、金融、民生、新业态等多领域信用信息全面归集共享，但当前仍存在部门壁垒、行业分割、区域隔离等问题，存在信息孤岛现象，跨部门、跨层级、跨领域数据归集难、共享难。同时，部分存量信息存在缺失、滞后、重复、错漏等问题，数据更新不及时。若数据归集不全、质量不高，将直接导致信用评价失真、信用监管不准、信用应用失效，影响</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落地成效。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2.信用过度泛化、失信认定不规范及权益保护不足风险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信用应用场景向政务服务、市场监管、民生服务、行业准入、公共资源交易等领域全面延伸，易出现信用泛化、滥用扩容问题，将一般民事纠纷、轻微违规行为随意纳入失信记录，扩大失信惩戒范围。部分行业自行设定信用评价指标、自定失信标准，缺乏统一法律依据和程序规范，存在认定标准不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问题。同时，信用主体权益保护机制仍有短板，存在失信信息公示期限不清晰、信用修复流程不透明、异议申诉渠道不畅、误判错判后更正不及时等情况。</w:t>
      </w:r>
    </w:p>
    <w:p>
      <w:pPr>
        <w:pStyle w:val="17"/>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.网络数据安全、隐私泄露和信用舆情突发风险</w:t>
      </w:r>
    </w:p>
    <w:p>
      <w:pPr>
        <w:pStyle w:val="17"/>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Fonts w:ascii="仿宋_GB2312" w:hAnsi="仿宋_GB2312" w:eastAsia="仿宋_GB2312" w:cs="仿宋_GB2312"/>
          <w:b w:val="0"/>
          <w:bCs w:val="0"/>
        </w:rPr>
      </w:pPr>
      <w:r>
        <w:rPr>
          <w:rFonts w:hint="eastAsia" w:ascii="仿宋_GB2312" w:hAnsi="仿宋_GB2312" w:eastAsia="仿宋_GB2312" w:cs="仿宋_GB2312"/>
          <w:b w:val="0"/>
          <w:bCs w:val="0"/>
        </w:rPr>
        <w:t>信用体系建设涉及海量企业经营数据、个人身份信息、等敏感数据，数据归集、存储、共享、应用全流程面临数据泄露、违规滥用等安全风险。随着数字化、智能化信用平台升级，数据安全隐患也增多，一旦发生信息泄露，将侵害个人隐私和企业秘密。同时，信用政策调整、失信典型案例等极易通过网络快速发酵，引发舆情负面连锁反应。部分公众对信用政策理解存在偏差，容易滋生误解情绪，若舆情应对不及时、处置不妥当，会影响《行动计划》推进节奏。</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8" w:name="_Toc867633402"/>
      <w:r>
        <w:rPr>
          <w:rFonts w:hint="eastAsia" w:ascii="楷体_GB2312" w:hAnsi="楷体_GB2312" w:eastAsia="楷体_GB2312" w:cs="楷体_GB2312"/>
          <w:b w:val="0"/>
          <w:bCs/>
          <w:szCs w:val="32"/>
        </w:rPr>
        <w:t>（二）风险防范、减缓及化解措施建议</w:t>
      </w:r>
      <w:bookmarkEnd w:id="28"/>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健全数据归集机制，全面提升信用信息质量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统一全市</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信用数据标准规范，制定统一的</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信息目录、归集口径、数据格式、共享接口标准，明确各部门、各行业数据归集责任、频次和质量要求，实现数据“应归尽归、实时更新”。打通政务业务系统、行业监管系统，建立自动化归集、智能校验、实时比对机制，开展常态化数据清洗、纠错、去重，从源头提升数据质量。拓宽数据来源渠道，补齐信用数据短板，筑牢信用体系数据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严格依法依规管理，强化信用主体权益保障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失信行为认定标准、惩戒措施清单、信用评价规则，实行清单化管理，各行业不得擅自扩大惩戒范围。健全全流程权益保护机制，完善信用信息异议申请、核查更正、撤销公示等程序，做到及时核查、快速纠错。规范信用修复机制，细化修复条件、流程、标准和时限，保障失信主体依规享有修复改过机会。</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筑牢安全保密防线，健全舆情应对引导机制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筑牢网络数据安全防线，落实数据分类分级、脱敏加密、访问权限管控、日志留痕等制度，对公共信用平台实行等保测评、定期安全巡检、漏洞排查，强化云平台、大数据系统安全防护能力。严格规范信用数据使用边界，明确数据归集、共享、应用权限，建立数据全流程溯源和责任追究机制。强化隐私保护，对自然人敏感信息实行脱敏处理，严控查询和调用权限。及时跟踪网络舆情动态，对不实信息及时澄清解读，对合理诉求快速回应整改。加强诚信宣传和政策解读，通过政务官网、媒体平台、行业宣讲等方式普及信用法规、失信认定、权益保护、信用修复等知识，引导社会公众正确认识信用管理政策，营造理解支持、理性参与的良好社会氛围，从源头化解舆情和稳定风险。</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仿宋_GB2312" w:hAnsi="仿宋_GB2312" w:eastAsia="仿宋_GB2312" w:cs="仿宋_GB2312"/>
          <w:b w:val="0"/>
          <w:bCs w:val="0"/>
          <w:sz w:val="36"/>
          <w:szCs w:val="36"/>
        </w:rPr>
      </w:pPr>
      <w:bookmarkStart w:id="29" w:name="_Toc1554665235"/>
      <w:r>
        <w:rPr>
          <w:rFonts w:hint="eastAsia" w:ascii="黑体" w:hAnsi="黑体" w:eastAsia="黑体" w:cs="黑体"/>
          <w:b w:val="0"/>
          <w:bCs w:val="0"/>
          <w:sz w:val="36"/>
          <w:szCs w:val="36"/>
        </w:rPr>
        <w:t>第三部分  风险评估结论</w:t>
      </w:r>
      <w:bookmarkEnd w:id="2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9"/>
          <w:szCs w:val="29"/>
        </w:rPr>
      </w:pPr>
      <w:r>
        <w:rPr>
          <w:rFonts w:hint="eastAsia" w:ascii="仿宋_GB2312" w:hAnsi="仿宋_GB2312" w:eastAsia="仿宋_GB2312" w:cs="仿宋_GB2312"/>
          <w:sz w:val="32"/>
          <w:szCs w:val="32"/>
        </w:rPr>
        <w:t>通过综合评估，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内容基本完整、科学、合理，具有充分的法律法规依据，起草过程征求了内外部意见，吸纳了有关建议，体现了科学、客观、公开、公平、公正原则。虽然存在</w:t>
      </w:r>
      <w:r>
        <w:rPr>
          <w:rFonts w:hint="eastAsia" w:ascii="仿宋_GB2312" w:hAnsi="仿宋_GB2312" w:eastAsia="仿宋_GB2312" w:cs="仿宋_GB2312"/>
          <w:sz w:val="32"/>
          <w:szCs w:val="32"/>
          <w:lang w:eastAsia="zh-CN"/>
        </w:rPr>
        <w:t>极小</w:t>
      </w:r>
      <w:r>
        <w:rPr>
          <w:rFonts w:hint="eastAsia" w:ascii="仿宋_GB2312" w:hAnsi="仿宋_GB2312" w:eastAsia="仿宋_GB2312" w:cs="仿宋_GB2312"/>
          <w:sz w:val="32"/>
          <w:szCs w:val="32"/>
        </w:rPr>
        <w:t>可能的实施风险，但这些风险不是</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lang w:eastAsia="zh-CN"/>
        </w:rPr>
        <w:t>直接导致</w:t>
      </w:r>
      <w:r>
        <w:rPr>
          <w:rFonts w:hint="eastAsia" w:ascii="仿宋_GB2312" w:hAnsi="仿宋_GB2312" w:eastAsia="仿宋_GB2312" w:cs="仿宋_GB2312"/>
          <w:sz w:val="32"/>
          <w:szCs w:val="32"/>
        </w:rPr>
        <w:t>的，且通过加强政策宣传和舆论引导、建立风险预警和防范机制基本可以降低或者化解，</w:t>
      </w:r>
      <w:r>
        <w:rPr>
          <w:rFonts w:hint="eastAsia" w:ascii="仿宋_GB2312" w:hAnsi="仿宋_GB2312" w:eastAsia="仿宋_GB2312" w:cs="仿宋_GB2312"/>
          <w:sz w:val="32"/>
          <w:szCs w:val="32"/>
          <w:lang w:eastAsia="zh-CN"/>
        </w:rPr>
        <w:t>稳定风险较低，满足合法性、合理</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可行性、可控</w:t>
      </w:r>
      <w:r>
        <w:rPr>
          <w:rFonts w:hint="eastAsia" w:ascii="仿宋_GB2312" w:hAnsi="仿宋_GB2312" w:eastAsia="仿宋_GB2312" w:cs="仿宋_GB2312"/>
          <w:sz w:val="32"/>
          <w:szCs w:val="32"/>
        </w:rPr>
        <w:t>性等标准</w:t>
      </w:r>
      <w:r>
        <w:rPr>
          <w:rFonts w:hint="eastAsia" w:ascii="仿宋_GB2312" w:hAnsi="仿宋_GB2312" w:eastAsia="仿宋_GB2312" w:cs="仿宋_GB2312"/>
          <w:sz w:val="32"/>
          <w:szCs w:val="32"/>
          <w:lang w:eastAsia="zh-CN"/>
        </w:rPr>
        <w:t>，评估结果为低风险</w:t>
      </w:r>
      <w:r>
        <w:rPr>
          <w:rFonts w:hint="eastAsia" w:ascii="仿宋_GB2312" w:hAnsi="仿宋_GB2312" w:eastAsia="仿宋_GB2312" w:cs="仿宋_GB2312"/>
          <w:sz w:val="32"/>
          <w:szCs w:val="32"/>
        </w:rPr>
        <w:t>。</w:t>
      </w:r>
    </w:p>
    <w:p>
      <w:pPr>
        <w:kinsoku/>
        <w:autoSpaceDE/>
        <w:autoSpaceDN/>
        <w:spacing w:line="360" w:lineRule="auto"/>
        <w:ind w:firstLine="580" w:firstLineChars="200"/>
        <w:jc w:val="both"/>
        <w:rPr>
          <w:rFonts w:ascii="仿宋_GB2312" w:hAnsi="仿宋_GB2312" w:eastAsia="仿宋_GB2312" w:cs="仿宋_GB2312"/>
          <w:sz w:val="29"/>
          <w:szCs w:val="29"/>
        </w:rPr>
      </w:pPr>
    </w:p>
    <w:p>
      <w:pPr>
        <w:kinsoku/>
        <w:autoSpaceDE/>
        <w:autoSpaceDN/>
        <w:spacing w:line="360" w:lineRule="auto"/>
        <w:ind w:firstLine="580" w:firstLineChars="200"/>
        <w:jc w:val="both"/>
        <w:rPr>
          <w:rFonts w:hint="default" w:ascii="仿宋_GB2312" w:hAnsi="仿宋_GB2312" w:eastAsia="仿宋_GB2312" w:cs="仿宋_GB2312"/>
          <w:sz w:val="29"/>
          <w:szCs w:val="29"/>
          <w:lang w:val="en-US" w:eastAsia="zh-CN"/>
        </w:rPr>
      </w:pPr>
      <w:r>
        <w:rPr>
          <w:rFonts w:hint="default" w:ascii="仿宋_GB2312" w:hAnsi="仿宋_GB2312" w:eastAsia="仿宋_GB2312" w:cs="仿宋_GB2312"/>
          <w:sz w:val="29"/>
          <w:szCs w:val="29"/>
          <w:lang w:val="e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姚体">
    <w:altName w:val="Droid Sans Fallback"/>
    <w:panose1 w:val="02010601030101010101"/>
    <w:charset w:val="86"/>
    <w:family w:val="auto"/>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84"/>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p>
    <w:pPr>
      <w:pStyle w:val="12"/>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4NDQxNjBlMjcyMWM1NDgwM2MwY2IzMzg0NjRiODMifQ=="/>
  </w:docVars>
  <w:rsids>
    <w:rsidRoot w:val="5D0C4477"/>
    <w:rsid w:val="00150EAD"/>
    <w:rsid w:val="001A0049"/>
    <w:rsid w:val="002E6413"/>
    <w:rsid w:val="003F23CE"/>
    <w:rsid w:val="0055574E"/>
    <w:rsid w:val="00661C58"/>
    <w:rsid w:val="006836D3"/>
    <w:rsid w:val="007F5D4E"/>
    <w:rsid w:val="00A566D5"/>
    <w:rsid w:val="00B901D7"/>
    <w:rsid w:val="00E26CDF"/>
    <w:rsid w:val="00F27441"/>
    <w:rsid w:val="012A2737"/>
    <w:rsid w:val="02913D1B"/>
    <w:rsid w:val="029313AF"/>
    <w:rsid w:val="02B413CC"/>
    <w:rsid w:val="034C72DC"/>
    <w:rsid w:val="03634626"/>
    <w:rsid w:val="037C1244"/>
    <w:rsid w:val="03847A06"/>
    <w:rsid w:val="03AA5DB1"/>
    <w:rsid w:val="03B804CE"/>
    <w:rsid w:val="0432428D"/>
    <w:rsid w:val="04A44EF6"/>
    <w:rsid w:val="04B002DD"/>
    <w:rsid w:val="05016A24"/>
    <w:rsid w:val="053F305D"/>
    <w:rsid w:val="05964427"/>
    <w:rsid w:val="05C361CD"/>
    <w:rsid w:val="05CF1AFF"/>
    <w:rsid w:val="05D30172"/>
    <w:rsid w:val="06182533"/>
    <w:rsid w:val="061A244C"/>
    <w:rsid w:val="061D0ABC"/>
    <w:rsid w:val="064F49ED"/>
    <w:rsid w:val="06F2019A"/>
    <w:rsid w:val="06FD08ED"/>
    <w:rsid w:val="077F3B06"/>
    <w:rsid w:val="07B54D24"/>
    <w:rsid w:val="07BC60B3"/>
    <w:rsid w:val="07D63653"/>
    <w:rsid w:val="08283748"/>
    <w:rsid w:val="08393BA7"/>
    <w:rsid w:val="08633073"/>
    <w:rsid w:val="08980AD0"/>
    <w:rsid w:val="08B82D1E"/>
    <w:rsid w:val="090146C5"/>
    <w:rsid w:val="09E244F6"/>
    <w:rsid w:val="0B633415"/>
    <w:rsid w:val="0BB579E9"/>
    <w:rsid w:val="0C6C49EE"/>
    <w:rsid w:val="0CF167FE"/>
    <w:rsid w:val="0D176DF3"/>
    <w:rsid w:val="0D466B4A"/>
    <w:rsid w:val="0D884035"/>
    <w:rsid w:val="0DA10224"/>
    <w:rsid w:val="0DFE6596"/>
    <w:rsid w:val="0E2624D8"/>
    <w:rsid w:val="0E770F85"/>
    <w:rsid w:val="0F136F00"/>
    <w:rsid w:val="0F7D081D"/>
    <w:rsid w:val="0F957E9C"/>
    <w:rsid w:val="0F9A4F2B"/>
    <w:rsid w:val="0FD541B5"/>
    <w:rsid w:val="0FF6E1AA"/>
    <w:rsid w:val="0FFC213A"/>
    <w:rsid w:val="10260EB5"/>
    <w:rsid w:val="102A657A"/>
    <w:rsid w:val="103F5AD3"/>
    <w:rsid w:val="1068327B"/>
    <w:rsid w:val="11357601"/>
    <w:rsid w:val="114C25B8"/>
    <w:rsid w:val="115B2212"/>
    <w:rsid w:val="11702FA8"/>
    <w:rsid w:val="119F1614"/>
    <w:rsid w:val="11FB4533"/>
    <w:rsid w:val="122610AE"/>
    <w:rsid w:val="125575F5"/>
    <w:rsid w:val="12E0534B"/>
    <w:rsid w:val="136441CE"/>
    <w:rsid w:val="13C20EF5"/>
    <w:rsid w:val="13F238FA"/>
    <w:rsid w:val="14425B91"/>
    <w:rsid w:val="1442713F"/>
    <w:rsid w:val="148E3FF2"/>
    <w:rsid w:val="149E54BE"/>
    <w:rsid w:val="14C111AC"/>
    <w:rsid w:val="1512522B"/>
    <w:rsid w:val="15611288"/>
    <w:rsid w:val="156A2679"/>
    <w:rsid w:val="15B27BE6"/>
    <w:rsid w:val="163038CC"/>
    <w:rsid w:val="172422A9"/>
    <w:rsid w:val="17677BE2"/>
    <w:rsid w:val="177D5F83"/>
    <w:rsid w:val="178C3598"/>
    <w:rsid w:val="17AE0D9B"/>
    <w:rsid w:val="186C16FD"/>
    <w:rsid w:val="18E45469"/>
    <w:rsid w:val="18EB2DBB"/>
    <w:rsid w:val="19C239FC"/>
    <w:rsid w:val="1A177D7F"/>
    <w:rsid w:val="1A49695F"/>
    <w:rsid w:val="1A6F6194"/>
    <w:rsid w:val="1A7867B1"/>
    <w:rsid w:val="1ADD03C2"/>
    <w:rsid w:val="1B0E29D1"/>
    <w:rsid w:val="1B140288"/>
    <w:rsid w:val="1B55264E"/>
    <w:rsid w:val="1B9E3FF5"/>
    <w:rsid w:val="1BB42C2C"/>
    <w:rsid w:val="1BD8671B"/>
    <w:rsid w:val="1C13053F"/>
    <w:rsid w:val="1C6012AB"/>
    <w:rsid w:val="1C757113"/>
    <w:rsid w:val="1CD001DE"/>
    <w:rsid w:val="1D750D86"/>
    <w:rsid w:val="1DBB7BBC"/>
    <w:rsid w:val="1DCF493A"/>
    <w:rsid w:val="1E1B192D"/>
    <w:rsid w:val="1E4944A2"/>
    <w:rsid w:val="1E6A5E28"/>
    <w:rsid w:val="1EA35FEA"/>
    <w:rsid w:val="1ECC0E79"/>
    <w:rsid w:val="1EF71B70"/>
    <w:rsid w:val="1F1903F3"/>
    <w:rsid w:val="1F3F743A"/>
    <w:rsid w:val="1F44371F"/>
    <w:rsid w:val="1FDD6ADF"/>
    <w:rsid w:val="1FF57F5C"/>
    <w:rsid w:val="204B5589"/>
    <w:rsid w:val="206967F2"/>
    <w:rsid w:val="20B816B5"/>
    <w:rsid w:val="20BD316F"/>
    <w:rsid w:val="21A74B95"/>
    <w:rsid w:val="22966913"/>
    <w:rsid w:val="22C365CF"/>
    <w:rsid w:val="22CF718A"/>
    <w:rsid w:val="22FF758C"/>
    <w:rsid w:val="2393640A"/>
    <w:rsid w:val="23D20CE0"/>
    <w:rsid w:val="23E17175"/>
    <w:rsid w:val="249935AC"/>
    <w:rsid w:val="24D3760E"/>
    <w:rsid w:val="252217F3"/>
    <w:rsid w:val="25450025"/>
    <w:rsid w:val="25843742"/>
    <w:rsid w:val="262F10C7"/>
    <w:rsid w:val="2637307C"/>
    <w:rsid w:val="26451C3D"/>
    <w:rsid w:val="26963B99"/>
    <w:rsid w:val="26B55F4C"/>
    <w:rsid w:val="26EB3E67"/>
    <w:rsid w:val="2708397D"/>
    <w:rsid w:val="27494592"/>
    <w:rsid w:val="27B973DA"/>
    <w:rsid w:val="27D33279"/>
    <w:rsid w:val="281222F4"/>
    <w:rsid w:val="28616AD6"/>
    <w:rsid w:val="28A349F9"/>
    <w:rsid w:val="28B46C06"/>
    <w:rsid w:val="28CA467C"/>
    <w:rsid w:val="28ED32C7"/>
    <w:rsid w:val="28F65794"/>
    <w:rsid w:val="294361DC"/>
    <w:rsid w:val="2952729F"/>
    <w:rsid w:val="296B6907"/>
    <w:rsid w:val="29B80978"/>
    <w:rsid w:val="29C410CB"/>
    <w:rsid w:val="29D935E1"/>
    <w:rsid w:val="2AC46EA9"/>
    <w:rsid w:val="2B1C2247"/>
    <w:rsid w:val="2B690DF0"/>
    <w:rsid w:val="2B7A1D63"/>
    <w:rsid w:val="2BEC17AE"/>
    <w:rsid w:val="2C405431"/>
    <w:rsid w:val="2CAB6572"/>
    <w:rsid w:val="2CD22F81"/>
    <w:rsid w:val="2DDD6BFF"/>
    <w:rsid w:val="2DE64EBA"/>
    <w:rsid w:val="2E427274"/>
    <w:rsid w:val="2F875C16"/>
    <w:rsid w:val="2F9A3EC4"/>
    <w:rsid w:val="2FC13683"/>
    <w:rsid w:val="2FD25609"/>
    <w:rsid w:val="2FDF148A"/>
    <w:rsid w:val="30110DE2"/>
    <w:rsid w:val="30FF0C3A"/>
    <w:rsid w:val="311025FC"/>
    <w:rsid w:val="31291C17"/>
    <w:rsid w:val="314B3E80"/>
    <w:rsid w:val="318D4498"/>
    <w:rsid w:val="31B9703B"/>
    <w:rsid w:val="31F2722F"/>
    <w:rsid w:val="325F576F"/>
    <w:rsid w:val="32715B68"/>
    <w:rsid w:val="32A816FE"/>
    <w:rsid w:val="335214F5"/>
    <w:rsid w:val="336F2B30"/>
    <w:rsid w:val="33757AD9"/>
    <w:rsid w:val="337C47C4"/>
    <w:rsid w:val="33923FE8"/>
    <w:rsid w:val="339A6510"/>
    <w:rsid w:val="342C7F98"/>
    <w:rsid w:val="34441786"/>
    <w:rsid w:val="34A044E2"/>
    <w:rsid w:val="34B453EB"/>
    <w:rsid w:val="34F0546A"/>
    <w:rsid w:val="35411821"/>
    <w:rsid w:val="35867971"/>
    <w:rsid w:val="358B2E3D"/>
    <w:rsid w:val="35951B6D"/>
    <w:rsid w:val="35A5283E"/>
    <w:rsid w:val="3658151C"/>
    <w:rsid w:val="366D5DEC"/>
    <w:rsid w:val="36A62466"/>
    <w:rsid w:val="36B50719"/>
    <w:rsid w:val="37040D59"/>
    <w:rsid w:val="370C5E5F"/>
    <w:rsid w:val="37757EA8"/>
    <w:rsid w:val="37F76B0F"/>
    <w:rsid w:val="38550803"/>
    <w:rsid w:val="38CD161E"/>
    <w:rsid w:val="39072D82"/>
    <w:rsid w:val="390A4620"/>
    <w:rsid w:val="39657C8F"/>
    <w:rsid w:val="39D0586A"/>
    <w:rsid w:val="39E15381"/>
    <w:rsid w:val="39EE30BB"/>
    <w:rsid w:val="3A085004"/>
    <w:rsid w:val="3A2F07E2"/>
    <w:rsid w:val="3B163750"/>
    <w:rsid w:val="3B1D688D"/>
    <w:rsid w:val="3B201ED9"/>
    <w:rsid w:val="3B494C2A"/>
    <w:rsid w:val="3B534B95"/>
    <w:rsid w:val="3B942511"/>
    <w:rsid w:val="3BDF3B42"/>
    <w:rsid w:val="3BEB24E7"/>
    <w:rsid w:val="3BF9E499"/>
    <w:rsid w:val="3C2974B3"/>
    <w:rsid w:val="3C320116"/>
    <w:rsid w:val="3C444841"/>
    <w:rsid w:val="3D3872AB"/>
    <w:rsid w:val="3D510A70"/>
    <w:rsid w:val="3D9EFE4B"/>
    <w:rsid w:val="3DD95C68"/>
    <w:rsid w:val="3DDE30D7"/>
    <w:rsid w:val="3DEB11CB"/>
    <w:rsid w:val="3E815CDE"/>
    <w:rsid w:val="3EAA6689"/>
    <w:rsid w:val="3F2F4DE1"/>
    <w:rsid w:val="3F7779BD"/>
    <w:rsid w:val="3F8E7703"/>
    <w:rsid w:val="3FC07FFE"/>
    <w:rsid w:val="3FC4377B"/>
    <w:rsid w:val="3FFBA93D"/>
    <w:rsid w:val="3FFE380B"/>
    <w:rsid w:val="40442B0E"/>
    <w:rsid w:val="40A519CB"/>
    <w:rsid w:val="40C41559"/>
    <w:rsid w:val="40CE0A30"/>
    <w:rsid w:val="41036525"/>
    <w:rsid w:val="41202C33"/>
    <w:rsid w:val="415520F7"/>
    <w:rsid w:val="41CA0DF1"/>
    <w:rsid w:val="429856CD"/>
    <w:rsid w:val="42C45840"/>
    <w:rsid w:val="42ED123B"/>
    <w:rsid w:val="43030A5E"/>
    <w:rsid w:val="436275FE"/>
    <w:rsid w:val="43776D56"/>
    <w:rsid w:val="43895742"/>
    <w:rsid w:val="44C94A59"/>
    <w:rsid w:val="45433394"/>
    <w:rsid w:val="4554734F"/>
    <w:rsid w:val="45554E75"/>
    <w:rsid w:val="459E4A6E"/>
    <w:rsid w:val="46204967"/>
    <w:rsid w:val="463F1DAD"/>
    <w:rsid w:val="46AC4F69"/>
    <w:rsid w:val="46B75DE7"/>
    <w:rsid w:val="470B1C8F"/>
    <w:rsid w:val="475C54D1"/>
    <w:rsid w:val="47BB36B5"/>
    <w:rsid w:val="48643D4D"/>
    <w:rsid w:val="48990868"/>
    <w:rsid w:val="4977185E"/>
    <w:rsid w:val="49EF3AEA"/>
    <w:rsid w:val="49F92273"/>
    <w:rsid w:val="4A01742E"/>
    <w:rsid w:val="4A037596"/>
    <w:rsid w:val="4A280DAA"/>
    <w:rsid w:val="4A5B2F2E"/>
    <w:rsid w:val="4A5E47CC"/>
    <w:rsid w:val="4A774324"/>
    <w:rsid w:val="4A811C7A"/>
    <w:rsid w:val="4AA35A82"/>
    <w:rsid w:val="4AFD5D93"/>
    <w:rsid w:val="4B4340EE"/>
    <w:rsid w:val="4B595B49"/>
    <w:rsid w:val="4B700C5B"/>
    <w:rsid w:val="4BD05255"/>
    <w:rsid w:val="4C146064"/>
    <w:rsid w:val="4C857EEB"/>
    <w:rsid w:val="4CA566E2"/>
    <w:rsid w:val="4DE4323A"/>
    <w:rsid w:val="4DEE53A2"/>
    <w:rsid w:val="4E410152"/>
    <w:rsid w:val="4E4361B3"/>
    <w:rsid w:val="4E650FE0"/>
    <w:rsid w:val="4E9E5ADF"/>
    <w:rsid w:val="4F204746"/>
    <w:rsid w:val="4F336227"/>
    <w:rsid w:val="4F5F0A3F"/>
    <w:rsid w:val="4F9667B6"/>
    <w:rsid w:val="501716A5"/>
    <w:rsid w:val="502C16F6"/>
    <w:rsid w:val="506D5769"/>
    <w:rsid w:val="50B138A7"/>
    <w:rsid w:val="514069D9"/>
    <w:rsid w:val="5160711D"/>
    <w:rsid w:val="51856F78"/>
    <w:rsid w:val="51DC69D3"/>
    <w:rsid w:val="52756B57"/>
    <w:rsid w:val="52B458D1"/>
    <w:rsid w:val="52BE7978"/>
    <w:rsid w:val="53023300"/>
    <w:rsid w:val="53A53279"/>
    <w:rsid w:val="53A92F5C"/>
    <w:rsid w:val="53B37F48"/>
    <w:rsid w:val="53B536AF"/>
    <w:rsid w:val="543D5452"/>
    <w:rsid w:val="54A1760B"/>
    <w:rsid w:val="54AF6350"/>
    <w:rsid w:val="54D97871"/>
    <w:rsid w:val="557468AB"/>
    <w:rsid w:val="55B80E40"/>
    <w:rsid w:val="55CE0A58"/>
    <w:rsid w:val="56440D1A"/>
    <w:rsid w:val="56F93FE7"/>
    <w:rsid w:val="57286BB3"/>
    <w:rsid w:val="57525A8B"/>
    <w:rsid w:val="57774D2C"/>
    <w:rsid w:val="577F53C7"/>
    <w:rsid w:val="58134E48"/>
    <w:rsid w:val="5853793A"/>
    <w:rsid w:val="58B31E4C"/>
    <w:rsid w:val="58C83A98"/>
    <w:rsid w:val="58D109F1"/>
    <w:rsid w:val="58DF2F7C"/>
    <w:rsid w:val="58F24A5D"/>
    <w:rsid w:val="5A162DC3"/>
    <w:rsid w:val="5AE7674F"/>
    <w:rsid w:val="5B3A6B8F"/>
    <w:rsid w:val="5B6F8287"/>
    <w:rsid w:val="5B70435F"/>
    <w:rsid w:val="5B7908DB"/>
    <w:rsid w:val="5C000168"/>
    <w:rsid w:val="5C3B2BBF"/>
    <w:rsid w:val="5C75491D"/>
    <w:rsid w:val="5C9B540C"/>
    <w:rsid w:val="5CFA7B04"/>
    <w:rsid w:val="5D0C4477"/>
    <w:rsid w:val="5D413B33"/>
    <w:rsid w:val="5D777E5E"/>
    <w:rsid w:val="5D801F91"/>
    <w:rsid w:val="5DA04B8E"/>
    <w:rsid w:val="5DC7AEE4"/>
    <w:rsid w:val="5E2D4789"/>
    <w:rsid w:val="5E512226"/>
    <w:rsid w:val="5E761C8C"/>
    <w:rsid w:val="5E8E6FD6"/>
    <w:rsid w:val="5EA52305"/>
    <w:rsid w:val="5EEA21DC"/>
    <w:rsid w:val="60011A2A"/>
    <w:rsid w:val="6025396A"/>
    <w:rsid w:val="6071095D"/>
    <w:rsid w:val="60B0176A"/>
    <w:rsid w:val="610619ED"/>
    <w:rsid w:val="616957AD"/>
    <w:rsid w:val="61B56F70"/>
    <w:rsid w:val="61FD50E0"/>
    <w:rsid w:val="621657FA"/>
    <w:rsid w:val="623E51B7"/>
    <w:rsid w:val="62F07B6B"/>
    <w:rsid w:val="63293771"/>
    <w:rsid w:val="638766EA"/>
    <w:rsid w:val="6401024A"/>
    <w:rsid w:val="640259A7"/>
    <w:rsid w:val="642130B0"/>
    <w:rsid w:val="64813139"/>
    <w:rsid w:val="64C179D9"/>
    <w:rsid w:val="64C41ACF"/>
    <w:rsid w:val="653528A1"/>
    <w:rsid w:val="657C6D16"/>
    <w:rsid w:val="65AB4911"/>
    <w:rsid w:val="65E816C2"/>
    <w:rsid w:val="66091638"/>
    <w:rsid w:val="661324B7"/>
    <w:rsid w:val="663B6982"/>
    <w:rsid w:val="66451976"/>
    <w:rsid w:val="6646288C"/>
    <w:rsid w:val="668D4017"/>
    <w:rsid w:val="66B43C9A"/>
    <w:rsid w:val="67073DC9"/>
    <w:rsid w:val="67095D94"/>
    <w:rsid w:val="67471940"/>
    <w:rsid w:val="67B47541"/>
    <w:rsid w:val="68906128"/>
    <w:rsid w:val="69031A3A"/>
    <w:rsid w:val="691C02BB"/>
    <w:rsid w:val="69272501"/>
    <w:rsid w:val="69B24D5F"/>
    <w:rsid w:val="69C53AC8"/>
    <w:rsid w:val="69CB37D4"/>
    <w:rsid w:val="6A163B6E"/>
    <w:rsid w:val="6A350C4E"/>
    <w:rsid w:val="6A4B66C3"/>
    <w:rsid w:val="6A8D0A8A"/>
    <w:rsid w:val="6AD22940"/>
    <w:rsid w:val="6AD45140"/>
    <w:rsid w:val="6AD55F8D"/>
    <w:rsid w:val="6B715CB5"/>
    <w:rsid w:val="6BD444D8"/>
    <w:rsid w:val="6BFD1C3F"/>
    <w:rsid w:val="6C1F6CCA"/>
    <w:rsid w:val="6C523D39"/>
    <w:rsid w:val="6C904861"/>
    <w:rsid w:val="6CA3011F"/>
    <w:rsid w:val="6CF3094C"/>
    <w:rsid w:val="6D2232F1"/>
    <w:rsid w:val="6D930519"/>
    <w:rsid w:val="6D981C1F"/>
    <w:rsid w:val="6D9FF567"/>
    <w:rsid w:val="6DB225B5"/>
    <w:rsid w:val="6DFE1668"/>
    <w:rsid w:val="6EA56555"/>
    <w:rsid w:val="6EF21DC7"/>
    <w:rsid w:val="6F6D3F5B"/>
    <w:rsid w:val="6F887A72"/>
    <w:rsid w:val="6F8C598F"/>
    <w:rsid w:val="6F986715"/>
    <w:rsid w:val="6FB62831"/>
    <w:rsid w:val="6FE41740"/>
    <w:rsid w:val="6FEA24DA"/>
    <w:rsid w:val="6FF8154A"/>
    <w:rsid w:val="700B3298"/>
    <w:rsid w:val="70153B46"/>
    <w:rsid w:val="70575B85"/>
    <w:rsid w:val="705F4C76"/>
    <w:rsid w:val="70853FB1"/>
    <w:rsid w:val="70AE3508"/>
    <w:rsid w:val="70E33DAB"/>
    <w:rsid w:val="7123067D"/>
    <w:rsid w:val="71816E6E"/>
    <w:rsid w:val="71BC3766"/>
    <w:rsid w:val="7235169B"/>
    <w:rsid w:val="72F21DD2"/>
    <w:rsid w:val="7357CCDB"/>
    <w:rsid w:val="73C46F6D"/>
    <w:rsid w:val="73ED2599"/>
    <w:rsid w:val="74263BCD"/>
    <w:rsid w:val="743261FE"/>
    <w:rsid w:val="74786307"/>
    <w:rsid w:val="74B542D0"/>
    <w:rsid w:val="74C4154C"/>
    <w:rsid w:val="75233190"/>
    <w:rsid w:val="752913AF"/>
    <w:rsid w:val="752E2E69"/>
    <w:rsid w:val="75902A02"/>
    <w:rsid w:val="75E55C1E"/>
    <w:rsid w:val="7610256F"/>
    <w:rsid w:val="76200A04"/>
    <w:rsid w:val="764F127C"/>
    <w:rsid w:val="765D6201"/>
    <w:rsid w:val="76A637C5"/>
    <w:rsid w:val="76D50105"/>
    <w:rsid w:val="77170059"/>
    <w:rsid w:val="77416E84"/>
    <w:rsid w:val="7762504C"/>
    <w:rsid w:val="77846B1B"/>
    <w:rsid w:val="77C3056D"/>
    <w:rsid w:val="77D73344"/>
    <w:rsid w:val="77FD314F"/>
    <w:rsid w:val="77FF8EBC"/>
    <w:rsid w:val="78081EAE"/>
    <w:rsid w:val="78210A63"/>
    <w:rsid w:val="784F4642"/>
    <w:rsid w:val="789E20B4"/>
    <w:rsid w:val="79294D66"/>
    <w:rsid w:val="79A4490F"/>
    <w:rsid w:val="79D46DA9"/>
    <w:rsid w:val="79D51B05"/>
    <w:rsid w:val="79DE2C2A"/>
    <w:rsid w:val="79F20909"/>
    <w:rsid w:val="7A6A7564"/>
    <w:rsid w:val="7A7C80F7"/>
    <w:rsid w:val="7AA339B1"/>
    <w:rsid w:val="7AC334D3"/>
    <w:rsid w:val="7B2C39A7"/>
    <w:rsid w:val="7C1D1542"/>
    <w:rsid w:val="7C266648"/>
    <w:rsid w:val="7C5763D7"/>
    <w:rsid w:val="7C9A33C3"/>
    <w:rsid w:val="7CA53A11"/>
    <w:rsid w:val="7CF6426C"/>
    <w:rsid w:val="7D330ED8"/>
    <w:rsid w:val="7DAA54CD"/>
    <w:rsid w:val="7DBF4FA6"/>
    <w:rsid w:val="7DC75C09"/>
    <w:rsid w:val="7DD4C476"/>
    <w:rsid w:val="7DE05D96"/>
    <w:rsid w:val="7E0E64D2"/>
    <w:rsid w:val="7E2E5C88"/>
    <w:rsid w:val="7EA30424"/>
    <w:rsid w:val="7EB2A532"/>
    <w:rsid w:val="7EFF3F6B"/>
    <w:rsid w:val="7F136BDF"/>
    <w:rsid w:val="7F3217A8"/>
    <w:rsid w:val="7F75CDE9"/>
    <w:rsid w:val="7FB25622"/>
    <w:rsid w:val="7FB60D60"/>
    <w:rsid w:val="7FD85EAB"/>
    <w:rsid w:val="7FEC0E6E"/>
    <w:rsid w:val="7FFF40BB"/>
    <w:rsid w:val="9DE74217"/>
    <w:rsid w:val="9FFFCB4D"/>
    <w:rsid w:val="A37FA987"/>
    <w:rsid w:val="ABEF9AB1"/>
    <w:rsid w:val="AFD14875"/>
    <w:rsid w:val="AFFFF16C"/>
    <w:rsid w:val="B6FF30CE"/>
    <w:rsid w:val="BFDF9717"/>
    <w:rsid w:val="C2FFB860"/>
    <w:rsid w:val="D6CBCA06"/>
    <w:rsid w:val="D6E5E79A"/>
    <w:rsid w:val="DBD9831D"/>
    <w:rsid w:val="DF7F6CF1"/>
    <w:rsid w:val="DFED40BB"/>
    <w:rsid w:val="EEC101AB"/>
    <w:rsid w:val="F6FF6EF7"/>
    <w:rsid w:val="F7DF2003"/>
    <w:rsid w:val="F97BCE14"/>
    <w:rsid w:val="FCAF60B7"/>
    <w:rsid w:val="FEFD703A"/>
    <w:rsid w:val="FEFF55E1"/>
    <w:rsid w:val="FFD2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rPr>
  </w:style>
  <w:style w:type="paragraph" w:styleId="7">
    <w:name w:val="heading 3"/>
    <w:basedOn w:val="1"/>
    <w:next w:val="1"/>
    <w:link w:val="22"/>
    <w:unhideWhenUsed/>
    <w:qFormat/>
    <w:uiPriority w:val="0"/>
    <w:pPr>
      <w:keepNext/>
      <w:keepLines/>
      <w:spacing w:before="260" w:after="260" w:line="413" w:lineRule="auto"/>
      <w:outlineLvl w:val="2"/>
    </w:pPr>
    <w:rPr>
      <w:b/>
      <w:sz w:val="32"/>
    </w:rPr>
  </w:style>
  <w:style w:type="paragraph" w:styleId="8">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1"/>
    <w:pPr>
      <w:ind w:left="120"/>
    </w:pPr>
    <w:rPr>
      <w:sz w:val="32"/>
      <w:szCs w:val="32"/>
    </w:rPr>
  </w:style>
  <w:style w:type="paragraph" w:styleId="4">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footnote text"/>
    <w:basedOn w:val="1"/>
    <w:qFormat/>
    <w:uiPriority w:val="0"/>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rPr>
      <w:rFonts w:cs="Times New Roman"/>
      <w:sz w:val="24"/>
    </w:rPr>
  </w:style>
  <w:style w:type="paragraph" w:styleId="17">
    <w:name w:val="Title"/>
    <w:basedOn w:val="1"/>
    <w:next w:val="1"/>
    <w:qFormat/>
    <w:uiPriority w:val="0"/>
    <w:pPr>
      <w:spacing w:before="240" w:after="60"/>
      <w:jc w:val="center"/>
    </w:pPr>
    <w:rPr>
      <w:rFonts w:ascii="Cambria" w:hAnsi="Cambria" w:cs="Times New Roman"/>
      <w:b/>
      <w:bCs/>
      <w:sz w:val="32"/>
      <w:szCs w:val="32"/>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3 字符"/>
    <w:link w:val="7"/>
    <w:qFormat/>
    <w:uiPriority w:val="0"/>
    <w:rPr>
      <w:b/>
      <w:sz w:val="32"/>
    </w:rPr>
  </w:style>
  <w:style w:type="paragraph" w:customStyle="1" w:styleId="23">
    <w:name w:val="列表段落1"/>
    <w:basedOn w:val="1"/>
    <w:qFormat/>
    <w:uiPriority w:val="34"/>
    <w:pPr>
      <w:spacing w:before="32"/>
      <w:ind w:left="120" w:right="198" w:firstLine="641"/>
      <w:jc w:val="both"/>
    </w:p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8176</Words>
  <Characters>2047</Characters>
  <Lines>17</Lines>
  <Paragraphs>20</Paragraphs>
  <TotalTime>1</TotalTime>
  <ScaleCrop>false</ScaleCrop>
  <LinksUpToDate>false</LinksUpToDate>
  <CharactersWithSpaces>10203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2023-08-15T06:42:00Z</dcterms:created>
  <dc:creator>ZYC</dc:creator>
  <cp:lastModifiedBy>梁慧妍</cp:lastModifiedBy>
  <dcterms:modified xsi:type="dcterms:W3CDTF">2026-05-21T10:50:37Z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4A6CE0CC8F9B4B63867A322259863582_13</vt:lpwstr>
  </property>
</Properties>
</file>