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center"/>
        <w:textAlignment w:val="auto"/>
        <w:rPr>
          <w:rFonts w:hint="eastAsia" w:ascii="方正小标宋简体" w:hAnsi="方正小标宋简体" w:eastAsia="方正小标宋简体" w:cs="方正小标宋简体"/>
          <w:b w:val="0"/>
          <w:bCs w:val="0"/>
          <w:color w:val="auto"/>
          <w:kern w:val="0"/>
          <w:sz w:val="44"/>
          <w:szCs w:val="44"/>
          <w:highlight w:val="none"/>
          <w:lang w:val="en-US" w:eastAsia="zh-CN" w:bidi="ar"/>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
        </w:rPr>
        <w:t>专家简介</w:t>
      </w:r>
    </w:p>
    <w:p>
      <w:pPr>
        <w:spacing w:line="360" w:lineRule="auto"/>
        <w:ind w:firstLine="642" w:firstLineChars="200"/>
        <w:rPr>
          <w:rFonts w:hint="eastAsia" w:ascii="楷体_GB2312" w:hAnsi="仿宋_GB2312" w:eastAsia="楷体_GB2312" w:cs="仿宋_GB2312"/>
          <w:b/>
          <w:bCs/>
          <w:color w:val="auto"/>
          <w:sz w:val="32"/>
          <w:szCs w:val="32"/>
          <w:highlight w:val="none"/>
          <w:lang w:eastAsia="zh-CN"/>
        </w:rPr>
      </w:pPr>
    </w:p>
    <w:p>
      <w:pPr>
        <w:spacing w:line="360" w:lineRule="auto"/>
        <w:ind w:firstLine="642" w:firstLineChars="200"/>
        <w:rPr>
          <w:rFonts w:hint="eastAsia" w:ascii="楷体_GB2312" w:hAnsi="仿宋_GB2312" w:eastAsia="楷体_GB2312" w:cs="仿宋_GB2312"/>
          <w:b/>
          <w:bCs/>
          <w:color w:val="auto"/>
          <w:sz w:val="32"/>
          <w:szCs w:val="32"/>
          <w:highlight w:val="none"/>
          <w:lang w:eastAsia="zh-CN"/>
        </w:rPr>
      </w:pPr>
      <w:r>
        <w:rPr>
          <w:rFonts w:hint="eastAsia" w:ascii="楷体_GB2312" w:hAnsi="仿宋_GB2312" w:eastAsia="楷体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lang w:val="en-US" w:eastAsia="zh-CN"/>
        </w:rPr>
        <w:t>美国商业秘密认定的司法实践</w:t>
      </w:r>
    </w:p>
    <w:p>
      <w:pPr>
        <w:spacing w:line="360" w:lineRule="auto"/>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主讲人：陈培</w:t>
      </w:r>
    </w:p>
    <w:p>
      <w:pPr>
        <w:spacing w:line="360" w:lineRule="auto"/>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陈培博士现任Leydig,Voit &amp; Mayer律师事务所合伙人及中国区负责人，拥有清华大学汽车工程与自动化专业双学士学位、特拉华大学电子工程专业博士学位、乔治华盛顿大学法学博士学位，并持有USPTO注册专利律师证书、美国弗吉尼亚州律师资格证书、美国哥伦比亚特区律师资格证书。陈培博士自2007年开始在美国从事知识产权工作，代表中国企业处理过大量的美国联邦地区法院、美国国际贸易委员会（ITC）和美国专利局专利无效案件，拥有从案件立案到庭审的全流程经验。此外，陈培博士还曾在中国知名互联网企业担任知识产权负责人，领导企业全球知识产权管理和运营工作，对企业整体海外专利布局和风险管理有深刻的理解和见地。陈培博士为国家海外知识产权纠纷应对指导中心特聘专家。</w:t>
      </w:r>
    </w:p>
    <w:p>
      <w:pPr>
        <w:spacing w:line="360" w:lineRule="auto"/>
        <w:ind w:firstLine="642" w:firstLineChars="200"/>
        <w:rPr>
          <w:rFonts w:hint="eastAsia" w:ascii="仿宋_GB2312" w:hAnsi="仿宋_GB2312" w:eastAsia="仿宋_GB2312" w:cs="仿宋_GB2312"/>
          <w:b/>
          <w:bCs/>
          <w:color w:val="auto"/>
          <w:sz w:val="32"/>
          <w:szCs w:val="32"/>
          <w:highlight w:val="none"/>
          <w:lang w:val="en-US" w:eastAsia="zh-CN"/>
        </w:rPr>
      </w:pPr>
      <w:r>
        <w:rPr>
          <w:rFonts w:hint="eastAsia" w:ascii="楷体_GB2312" w:hAnsi="仿宋_GB2312" w:eastAsia="楷体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lang w:val="en-US" w:eastAsia="zh-CN"/>
        </w:rPr>
        <w:t>出海企业商业秘密高危场景与风险要点防范</w:t>
      </w:r>
    </w:p>
    <w:p>
      <w:pPr>
        <w:spacing w:line="360" w:lineRule="auto"/>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主讲人：刘志杰</w:t>
      </w:r>
    </w:p>
    <w:p>
      <w:pPr>
        <w:spacing w:line="360" w:lineRule="auto"/>
        <w:ind w:firstLine="640" w:firstLineChars="200"/>
        <w:rPr>
          <w:color w:val="auto"/>
        </w:rPr>
      </w:pPr>
      <w:r>
        <w:rPr>
          <w:rFonts w:hint="eastAsia" w:ascii="仿宋_GB2312" w:hAnsi="宋体" w:eastAsia="仿宋_GB2312"/>
          <w:color w:val="auto"/>
          <w:sz w:val="32"/>
          <w:szCs w:val="32"/>
          <w:highlight w:val="none"/>
        </w:rPr>
        <w:t>刘志杰律师擅长涉及复杂技术的知识产权诉讼和与企业合规建设相关的知识产权非诉项目，尤其是擅长处理涉外业务。刘律师在知识产权领域具有丰富的实践经验，为客户提供专利申请、专利有效性分析、知识产权诉讼、知识产权尽职调查、不正当竞争纠纷、商业秘密诉讼以及合规体系搭建、海外平行诉讼管理等多项服务。技术领域包括电机、电气设备、通信技术、电子与电路、信号处理、计算机技术等，以及人工智能、互联网、AICG等新兴领域。刘律师成功代理多起</w:t>
      </w:r>
      <w:r>
        <w:rPr>
          <w:rFonts w:hint="eastAsia" w:ascii="仿宋_GB2312" w:hAnsi="宋体" w:eastAsia="仿宋_GB2312"/>
          <w:color w:val="auto"/>
          <w:sz w:val="32"/>
          <w:szCs w:val="32"/>
          <w:highlight w:val="none"/>
          <w:lang w:eastAsia="zh-CN"/>
        </w:rPr>
        <w:t>重大</w:t>
      </w:r>
      <w:r>
        <w:rPr>
          <w:rFonts w:hint="eastAsia" w:ascii="仿宋_GB2312" w:hAnsi="宋体" w:eastAsia="仿宋_GB2312"/>
          <w:color w:val="auto"/>
          <w:sz w:val="32"/>
          <w:szCs w:val="32"/>
          <w:highlight w:val="none"/>
        </w:rPr>
        <w:t>、复杂的知识产权诉讼案件</w:t>
      </w:r>
      <w:r>
        <w:rPr>
          <w:rFonts w:hint="eastAsia" w:ascii="仿宋_GB2312" w:hAnsi="宋体" w:eastAsia="仿宋_GB2312"/>
          <w:color w:val="auto"/>
          <w:sz w:val="32"/>
          <w:szCs w:val="32"/>
          <w:highlight w:val="none"/>
          <w:lang w:eastAsia="zh-CN"/>
        </w:rPr>
        <w:t>，在智能家电专利侵权诉讼与无效、计算机软件著作权及新型互联网不正当竞争案件中亦具有丰富经验。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404AC"/>
    <w:rsid w:val="3E7B8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liucheng1</dc:creator>
  <cp:lastModifiedBy>hongrt</cp:lastModifiedBy>
  <dcterms:modified xsi:type="dcterms:W3CDTF">2026-06-16T15:09:43Z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