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widowControl/>
        <w:jc w:val="center"/>
        <w:rPr>
          <w:rFonts w:ascii="黑体" w:hAnsi="黑体" w:eastAsia="黑体"/>
          <w:color w:val="040404"/>
          <w:sz w:val="32"/>
          <w:szCs w:val="32"/>
        </w:rPr>
      </w:pPr>
      <w:r>
        <w:rPr>
          <w:rFonts w:hint="eastAsia" w:ascii="黑体" w:hAnsi="黑体" w:eastAsia="黑体"/>
          <w:color w:val="040404"/>
          <w:sz w:val="32"/>
          <w:szCs w:val="32"/>
        </w:rPr>
        <w:t>家用燃气快速热水器产品标识要求</w:t>
      </w:r>
    </w:p>
    <w:tbl>
      <w:tblPr>
        <w:tblStyle w:val="4"/>
        <w:tblW w:w="14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367"/>
        <w:gridCol w:w="4961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标识内容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判定方法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产品质量检验合格证明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《产品质量法》第二十七条第一项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2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中文标明的产品名称、生产厂厂名和厂址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《产品质量法》第二十七条第二项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3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产品执行标准号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《深圳经济特区产品质量管理条例》第二十四条第一项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4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在产品或者包装、说明书上标注</w:t>
            </w:r>
            <w:r>
              <w:rPr>
                <w:rFonts w:hint="eastAsia" w:ascii="黑体" w:hAnsi="黑体" w:eastAsia="黑体"/>
                <w:sz w:val="24"/>
              </w:rPr>
              <w:t>生产许可证标志和编号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《工业产品生产许可证管理条例》第三十三条第一款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5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伪造、冒用</w:t>
            </w:r>
            <w:r>
              <w:rPr>
                <w:rFonts w:hint="eastAsia" w:ascii="黑体" w:hAnsi="黑体" w:eastAsia="黑体"/>
                <w:sz w:val="24"/>
              </w:rPr>
              <w:t>生产许可证标志和编号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是否真实。</w:t>
            </w:r>
          </w:p>
          <w:p>
            <w:pPr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许可证编号通过国家数据库https://psp.e-cqs.cn/search/portal/xzxk.jsp查询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《深圳经济特区产品质量管理条例》第二十三条第二款第六项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6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>在产品或者其包装、说明书上标注</w:t>
            </w:r>
            <w:r>
              <w:rPr>
                <w:rFonts w:hint="eastAsia" w:ascii="黑体" w:hAnsi="黑体" w:eastAsia="黑体"/>
                <w:bCs/>
                <w:sz w:val="24"/>
              </w:rPr>
              <w:t>委托企业的名称、住所</w:t>
            </w:r>
            <w:r>
              <w:rPr>
                <w:rFonts w:hint="eastAsia" w:ascii="仿宋_GB2312" w:hAnsi="Calibri" w:eastAsia="仿宋_GB2312"/>
                <w:bCs/>
                <w:sz w:val="24"/>
              </w:rPr>
              <w:t>，以及</w:t>
            </w:r>
            <w:r>
              <w:rPr>
                <w:rFonts w:hint="eastAsia" w:ascii="黑体" w:hAnsi="黑体" w:eastAsia="黑体"/>
                <w:bCs/>
                <w:sz w:val="24"/>
              </w:rPr>
              <w:t>被委托企业的名称、住所、生产许可证标志和编号</w:t>
            </w:r>
            <w:r>
              <w:rPr>
                <w:rFonts w:hint="eastAsia" w:ascii="仿宋_GB2312" w:hAnsi="Calibri" w:eastAsia="仿宋_GB2312"/>
                <w:bCs/>
                <w:sz w:val="24"/>
              </w:rPr>
              <w:t>。委托企业具有其委托加工的产品生产许可证的，还应当标注</w:t>
            </w:r>
            <w:r>
              <w:rPr>
                <w:rFonts w:hint="eastAsia" w:ascii="黑体" w:hAnsi="黑体" w:eastAsia="黑体"/>
                <w:bCs/>
                <w:sz w:val="24"/>
              </w:rPr>
              <w:t>委托企业的生产许可证标志和编号。</w:t>
            </w:r>
          </w:p>
          <w:p>
            <w:pPr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注：适用时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是否真实。</w:t>
            </w:r>
          </w:p>
          <w:p>
            <w:pPr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许可证编号通过国家数据库https://psp.e-cqs.cn/search/portal/xzxk.jsp</w:t>
            </w:r>
            <w:bookmarkStart w:id="0" w:name="_GoBack"/>
            <w:bookmarkEnd w:id="0"/>
            <w:r>
              <w:rPr>
                <w:rFonts w:hint="eastAsia" w:ascii="仿宋_GB2312" w:hAnsi="Calibri" w:eastAsia="仿宋_GB2312"/>
                <w:sz w:val="24"/>
              </w:rPr>
              <w:t>查询；</w:t>
            </w:r>
          </w:p>
          <w:p>
            <w:pPr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企业名称、住所通过国家企业信用信息公示系统http://www.gsxt.gov.cn/index.html查询。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《工业产品生产许可证管理条例管理办法》第四十条第二款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7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>铭牌上应有</w:t>
            </w:r>
            <w:r>
              <w:rPr>
                <w:rFonts w:ascii="仿宋_GB2312" w:hAnsi="Calibri" w:eastAsia="仿宋_GB2312"/>
                <w:bCs/>
                <w:sz w:val="24"/>
              </w:rPr>
              <w:t>：</w:t>
            </w:r>
            <w:r>
              <w:rPr>
                <w:rFonts w:hint="eastAsia" w:ascii="黑体" w:hAnsi="黑体" w:eastAsia="黑体"/>
                <w:sz w:val="24"/>
              </w:rPr>
              <w:t>燃气种类或代号</w:t>
            </w:r>
            <w:r>
              <w:rPr>
                <w:rFonts w:hint="eastAsia" w:ascii="仿宋_GB2312" w:hAnsi="Calibri" w:eastAsia="仿宋_GB2312"/>
                <w:sz w:val="24"/>
              </w:rPr>
              <w:t>；</w:t>
            </w:r>
          </w:p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包装箱上应有：</w:t>
            </w:r>
            <w:r>
              <w:rPr>
                <w:rFonts w:hint="eastAsia" w:ascii="黑体" w:hAnsi="黑体" w:eastAsia="黑体"/>
                <w:sz w:val="24"/>
              </w:rPr>
              <w:t>热水器使用燃气种类或适用地区</w:t>
            </w:r>
            <w:r>
              <w:rPr>
                <w:rFonts w:hint="eastAsia" w:ascii="仿宋_GB2312" w:hAnsi="Calibri" w:eastAsia="仿宋_GB2312"/>
                <w:sz w:val="24"/>
              </w:rPr>
              <w:t>。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是否正确。</w:t>
            </w:r>
          </w:p>
          <w:p>
            <w:pPr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深圳地区为“天然气（代号：10T、12T）”或“液化石油气（代号：19Y、20Y或22Y）”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GB 6932</w:t>
            </w:r>
            <w:r>
              <w:rPr>
                <w:rFonts w:ascii="仿宋_GB2312" w:hAnsi="Calibri" w:eastAsia="仿宋_GB2312"/>
                <w:sz w:val="24"/>
              </w:rPr>
              <w:t>--2015</w:t>
            </w:r>
            <w:r>
              <w:rPr>
                <w:rFonts w:hint="eastAsia" w:ascii="仿宋_GB2312" w:hAnsi="Calibri" w:eastAsia="仿宋_GB2312"/>
                <w:sz w:val="24"/>
              </w:rPr>
              <w:t xml:space="preserve"> 9.1.1 b)、9.4.1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8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每台热水器均应在适当的位置设有安全注意事项,安全注意事项应包含以下内容：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a) 不得使用规定外其他燃气的警示；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b) 通风换气的注意事项；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GB 6932</w:t>
            </w:r>
            <w:r>
              <w:rPr>
                <w:rFonts w:ascii="仿宋_GB2312" w:hAnsi="Calibri" w:eastAsia="仿宋_GB2312"/>
                <w:sz w:val="24"/>
              </w:rPr>
              <w:t>--2015</w:t>
            </w:r>
            <w:r>
              <w:rPr>
                <w:rFonts w:hint="eastAsia" w:ascii="仿宋_GB2312" w:hAnsi="Calibri" w:eastAsia="仿宋_GB2312"/>
                <w:sz w:val="24"/>
              </w:rPr>
              <w:t xml:space="preserve"> 9.1.2 a)、b)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9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每台使用交流电热水器的</w:t>
            </w:r>
            <w:r>
              <w:rPr>
                <w:rFonts w:ascii="黑体" w:hAnsi="黑体" w:eastAsia="黑体"/>
                <w:sz w:val="24"/>
              </w:rPr>
              <w:t>主体上应有标志</w:t>
            </w:r>
            <w:r>
              <w:rPr>
                <w:rFonts w:ascii="仿宋_GB2312" w:hAnsi="Calibri" w:eastAsia="仿宋_GB2312"/>
                <w:sz w:val="24"/>
              </w:rPr>
              <w:t>，标志上应有：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a</w:t>
            </w:r>
            <w:r>
              <w:rPr>
                <w:rFonts w:ascii="黑体" w:hAnsi="黑体" w:eastAsia="黑体"/>
                <w:sz w:val="24"/>
              </w:rPr>
              <w:t xml:space="preserve">) </w:t>
            </w:r>
            <w:r>
              <w:rPr>
                <w:rFonts w:hint="eastAsia" w:ascii="黑体" w:hAnsi="黑体" w:eastAsia="黑体"/>
                <w:sz w:val="24"/>
              </w:rPr>
              <w:t>额定电压或额定电压范围，单位为伏（V）</w:t>
            </w:r>
            <w:r>
              <w:rPr>
                <w:rFonts w:ascii="黑体" w:hAnsi="黑体" w:eastAsia="黑体"/>
                <w:sz w:val="24"/>
              </w:rPr>
              <w:t>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b) 电源性质的符号，标有额定频率的除外；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c) 额定输入功率，单位为瓦（W）或额定电流，单位为安（A）；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d) 制造商或责任承销商的名称、商标或识别标志；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e) 型号或系列号；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f) 防水等级的IP代码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本部分内容应使用简体汉字写出。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有或无，是否正确。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室内型热水器应标注</w:t>
            </w:r>
            <w:r>
              <w:rPr>
                <w:rFonts w:ascii="仿宋_GB2312" w:hAnsi="Calibri" w:eastAsia="仿宋_GB2312"/>
                <w:sz w:val="24"/>
              </w:rPr>
              <w:t>IPX2及以上代码;</w:t>
            </w:r>
            <w:r>
              <w:rPr>
                <w:rFonts w:hint="eastAsia" w:ascii="仿宋_GB2312" w:hAnsi="Calibri" w:eastAsia="仿宋_GB2312"/>
                <w:sz w:val="24"/>
              </w:rPr>
              <w:t>可以安装在浴室内的热水器应标注</w:t>
            </w:r>
            <w:r>
              <w:rPr>
                <w:rFonts w:ascii="仿宋_GB2312" w:hAnsi="Calibri" w:eastAsia="仿宋_GB2312"/>
                <w:sz w:val="24"/>
              </w:rPr>
              <w:t>IPX4及以上代码;</w:t>
            </w:r>
            <w:r>
              <w:rPr>
                <w:rFonts w:hint="eastAsia" w:ascii="仿宋_GB2312" w:hAnsi="Calibri" w:eastAsia="仿宋_GB2312"/>
                <w:sz w:val="24"/>
              </w:rPr>
              <w:t>室外型热水器应标注</w:t>
            </w:r>
            <w:r>
              <w:rPr>
                <w:rFonts w:ascii="仿宋_GB2312" w:hAnsi="Calibri" w:eastAsia="仿宋_GB2312"/>
                <w:sz w:val="24"/>
              </w:rPr>
              <w:t>IPX5及以上代码</w:t>
            </w:r>
            <w:r>
              <w:rPr>
                <w:rFonts w:hint="eastAsia" w:ascii="仿宋_GB2312" w:hAnsi="Calibri" w:eastAsia="仿宋_GB2312"/>
                <w:sz w:val="24"/>
              </w:rPr>
              <w:t>。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GB</w:t>
            </w:r>
            <w:r>
              <w:rPr>
                <w:rFonts w:ascii="仿宋_GB2312" w:hAnsi="Calibri" w:eastAsia="仿宋_GB2312"/>
                <w:sz w:val="24"/>
              </w:rPr>
              <w:t>4706.1—2005 7.1、</w:t>
            </w:r>
            <w:r>
              <w:rPr>
                <w:rFonts w:hint="eastAsia" w:ascii="仿宋_GB2312" w:hAnsi="Calibri" w:eastAsia="仿宋_GB2312"/>
                <w:sz w:val="24"/>
              </w:rPr>
              <w:t>7.13、7.15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GB 6932</w:t>
            </w:r>
            <w:r>
              <w:rPr>
                <w:rFonts w:ascii="仿宋_GB2312" w:hAnsi="Calibri" w:eastAsia="仿宋_GB2312"/>
                <w:sz w:val="24"/>
              </w:rPr>
              <w:t>—2015 C.2.2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10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每台使用交流电热水器的使用说明应包括下述内容</w:t>
            </w:r>
            <w:r>
              <w:rPr>
                <w:rFonts w:ascii="仿宋_GB2312" w:hAnsi="黑体" w:eastAsia="仿宋_GB2312"/>
                <w:sz w:val="24"/>
              </w:rPr>
              <w:t>：</w:t>
            </w:r>
            <w:r>
              <w:rPr>
                <w:rFonts w:hint="eastAsia" w:ascii="黑体" w:hAnsi="黑体" w:eastAsia="黑体"/>
                <w:sz w:val="24"/>
              </w:rPr>
              <w:t>“如果电源软线损坏</w:t>
            </w:r>
            <w:r>
              <w:rPr>
                <w:rFonts w:ascii="黑体" w:hAnsi="黑体" w:eastAsia="黑体"/>
                <w:sz w:val="24"/>
              </w:rPr>
              <w:t>,</w:t>
            </w:r>
            <w:r>
              <w:rPr>
                <w:rFonts w:hint="eastAsia" w:ascii="黑体" w:hAnsi="黑体" w:eastAsia="黑体"/>
                <w:sz w:val="24"/>
              </w:rPr>
              <w:t>为了避免危险</w:t>
            </w:r>
            <w:r>
              <w:rPr>
                <w:rFonts w:ascii="黑体" w:hAnsi="黑体" w:eastAsia="黑体"/>
                <w:sz w:val="24"/>
              </w:rPr>
              <w:t>,</w:t>
            </w:r>
            <w:r>
              <w:rPr>
                <w:rFonts w:hint="eastAsia" w:ascii="黑体" w:hAnsi="黑体" w:eastAsia="黑体"/>
                <w:sz w:val="24"/>
              </w:rPr>
              <w:t>应由制造商、其维修部或类似部门的专业人员更换”或“电源软线不能更换</w:t>
            </w:r>
            <w:r>
              <w:rPr>
                <w:rFonts w:ascii="黑体" w:hAnsi="黑体" w:eastAsia="黑体"/>
                <w:sz w:val="24"/>
              </w:rPr>
              <w:t>,</w:t>
            </w:r>
            <w:r>
              <w:rPr>
                <w:rFonts w:hint="eastAsia" w:ascii="黑体" w:hAnsi="黑体" w:eastAsia="黑体"/>
                <w:sz w:val="24"/>
              </w:rPr>
              <w:t>如果软线损坏</w:t>
            </w:r>
            <w:r>
              <w:rPr>
                <w:rFonts w:ascii="黑体" w:hAnsi="黑体" w:eastAsia="黑体"/>
                <w:sz w:val="24"/>
              </w:rPr>
              <w:t>,</w:t>
            </w:r>
            <w:r>
              <w:rPr>
                <w:rFonts w:hint="eastAsia" w:ascii="黑体" w:hAnsi="黑体" w:eastAsia="黑体"/>
                <w:sz w:val="24"/>
              </w:rPr>
              <w:t>此热水器应废弃”。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本部分内容应使用简体汉字写出。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有或无，是否正确。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GB</w:t>
            </w:r>
            <w:r>
              <w:rPr>
                <w:rFonts w:ascii="仿宋_GB2312" w:hAnsi="Calibri" w:eastAsia="仿宋_GB2312"/>
                <w:sz w:val="24"/>
              </w:rPr>
              <w:t>4706.1—2005 7.12.5、</w:t>
            </w:r>
            <w:r>
              <w:rPr>
                <w:rFonts w:hint="eastAsia" w:ascii="仿宋_GB2312" w:hAnsi="Calibri" w:eastAsia="仿宋_GB2312"/>
                <w:sz w:val="24"/>
              </w:rPr>
              <w:t>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11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每台使用交流电热水器的电源插头和电源线等部件应有</w:t>
            </w:r>
            <w:r>
              <w:rPr>
                <w:rFonts w:hint="eastAsia" w:ascii="黑体" w:hAnsi="黑体" w:eastAsia="黑体"/>
                <w:sz w:val="24"/>
              </w:rPr>
              <w:t>“CCC”认证标志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《认证认可条例》第二十八条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12</w:t>
            </w:r>
          </w:p>
        </w:tc>
        <w:tc>
          <w:tcPr>
            <w:tcW w:w="53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伪造、冒用</w:t>
            </w:r>
            <w:r>
              <w:rPr>
                <w:rFonts w:hint="eastAsia" w:ascii="黑体" w:hAnsi="黑体" w:eastAsia="黑体"/>
                <w:sz w:val="24"/>
              </w:rPr>
              <w:t>认证标志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是否真实。</w:t>
            </w:r>
          </w:p>
          <w:p>
            <w:pPr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认证信息通过国家数据库</w:t>
            </w:r>
            <w:r>
              <w:rPr>
                <w:rFonts w:ascii="仿宋_GB2312" w:hAnsi="Calibri" w:eastAsia="仿宋_GB2312"/>
                <w:sz w:val="24"/>
              </w:rPr>
              <w:t>http://cx.cnca.cn/</w:t>
            </w:r>
            <w:r>
              <w:rPr>
                <w:rFonts w:hint="eastAsia" w:ascii="仿宋_GB2312" w:hAnsi="Calibri" w:eastAsia="仿宋_GB2312"/>
                <w:sz w:val="24"/>
              </w:rPr>
              <w:t>查询</w:t>
            </w:r>
          </w:p>
        </w:tc>
        <w:tc>
          <w:tcPr>
            <w:tcW w:w="382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《深圳经济特区产品质量管理条例》第二十三条第二款第六项</w:t>
            </w:r>
          </w:p>
        </w:tc>
      </w:tr>
    </w:tbl>
    <w:p>
      <w:pPr>
        <w:widowControl/>
        <w:rPr>
          <w:rFonts w:ascii="黑体" w:hAnsi="黑体" w:eastAsia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7CEC"/>
    <w:rsid w:val="003C7CEC"/>
    <w:rsid w:val="00BD10FA"/>
    <w:rsid w:val="00D72F6F"/>
    <w:rsid w:val="9DFFD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204</Words>
  <Characters>1166</Characters>
  <Lines>9</Lines>
  <Paragraphs>2</Paragraphs>
  <TotalTime>0</TotalTime>
  <ScaleCrop>false</ScaleCrop>
  <LinksUpToDate>false</LinksUpToDate>
  <CharactersWithSpaces>1368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2018-02-13T09:52:00Z</dcterms:created>
  <dc:creator>李臻</dc:creator>
  <cp:lastModifiedBy>luojy3</cp:lastModifiedBy>
  <dcterms:modified xsi:type="dcterms:W3CDTF">2026-07-21T15:17:36Z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