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kinsoku/>
        <w:wordWrap/>
        <w:overflowPunct/>
        <w:topLinePunct w:val="0"/>
        <w:autoSpaceDE/>
        <w:autoSpaceDN/>
        <w:bidi w:val="0"/>
        <w:adjustRightInd/>
        <w:snapToGrid/>
        <w:spacing w:line="579" w:lineRule="exact"/>
        <w:ind w:left="0" w:leftChars="0" w:firstLine="0" w:firstLineChars="0"/>
        <w:textAlignment w:val="auto"/>
        <w:rPr>
          <w:rFonts w:hint="eastAsia" w:ascii="黑体" w:hAnsi="黑体" w:eastAsia="黑体" w:cs="Arial"/>
          <w:color w:val="auto"/>
          <w:kern w:val="0"/>
          <w:szCs w:val="32"/>
          <w:lang w:eastAsia="zh-CN"/>
        </w:rPr>
      </w:pPr>
      <w:r>
        <w:rPr>
          <w:rFonts w:hint="eastAsia" w:ascii="黑体" w:hAnsi="黑体" w:eastAsia="黑体" w:cs="Arial"/>
          <w:color w:val="auto"/>
          <w:kern w:val="0"/>
          <w:szCs w:val="32"/>
        </w:rPr>
        <w:t>附件</w:t>
      </w:r>
      <w:r>
        <w:rPr>
          <w:rFonts w:hint="eastAsia" w:ascii="黑体" w:hAnsi="黑体" w:eastAsia="黑体" w:cs="Arial"/>
          <w:color w:val="auto"/>
          <w:kern w:val="0"/>
          <w:szCs w:val="32"/>
          <w:lang w:val="en-US" w:eastAsia="zh-CN"/>
        </w:rPr>
        <w:t>2</w:t>
      </w:r>
    </w:p>
    <w:p>
      <w:pPr>
        <w:keepNext w:val="0"/>
        <w:keepLines w:val="0"/>
        <w:pageBreakBefore w:val="0"/>
        <w:kinsoku/>
        <w:wordWrap/>
        <w:overflowPunct/>
        <w:topLinePunct w:val="0"/>
        <w:autoSpaceDE/>
        <w:autoSpaceDN/>
        <w:bidi w:val="0"/>
        <w:adjustRightInd/>
        <w:snapToGrid/>
        <w:spacing w:line="579" w:lineRule="exact"/>
        <w:ind w:firstLine="832"/>
        <w:jc w:val="center"/>
        <w:textAlignment w:val="auto"/>
        <w:rPr>
          <w:rFonts w:ascii="微软雅黑" w:hAnsi="微软雅黑" w:eastAsia="微软雅黑" w:cs="微软雅黑"/>
          <w:color w:val="auto"/>
          <w:spacing w:val="-12"/>
          <w:sz w:val="44"/>
          <w:szCs w:val="44"/>
        </w:rPr>
      </w:pPr>
      <w:r>
        <w:rPr>
          <w:rFonts w:hint="eastAsia" w:ascii="华文中宋" w:hAnsi="华文中宋" w:eastAsia="华文中宋" w:cs="华文中宋"/>
          <w:color w:val="auto"/>
          <w:spacing w:val="-12"/>
          <w:sz w:val="44"/>
          <w:szCs w:val="44"/>
        </w:rPr>
        <w:t>部分不合格项目小知识</w:t>
      </w:r>
    </w:p>
    <w:p>
      <w:pPr>
        <w:pStyle w:val="2"/>
        <w:keepNext w:val="0"/>
        <w:keepLines w:val="0"/>
        <w:pageBreakBefore w:val="0"/>
        <w:kinsoku/>
        <w:wordWrap/>
        <w:overflowPunct/>
        <w:topLinePunct w:val="0"/>
        <w:autoSpaceDE/>
        <w:autoSpaceDN/>
        <w:bidi w:val="0"/>
        <w:adjustRightInd/>
        <w:snapToGrid/>
        <w:spacing w:before="0" w:after="0" w:line="579" w:lineRule="exact"/>
        <w:ind w:left="640" w:firstLine="480"/>
        <w:textAlignment w:val="auto"/>
        <w:rPr>
          <w:color w:val="auto"/>
        </w:rPr>
      </w:pPr>
    </w:p>
    <w:p>
      <w:pPr>
        <w:keepNext w:val="0"/>
        <w:keepLines w:val="0"/>
        <w:pageBreakBefore w:val="0"/>
        <w:kinsoku/>
        <w:wordWrap/>
        <w:overflowPunct/>
        <w:topLinePunct w:val="0"/>
        <w:autoSpaceDE/>
        <w:autoSpaceDN/>
        <w:bidi w:val="0"/>
        <w:adjustRightInd/>
        <w:snapToGrid/>
        <w:spacing w:line="579" w:lineRule="exact"/>
        <w:ind w:firstLine="643"/>
        <w:textAlignment w:val="auto"/>
        <w:rPr>
          <w:rFonts w:ascii="黑体" w:hAnsi="黑体" w:eastAsia="黑体" w:cs="黑体"/>
          <w:b w:val="0"/>
          <w:bCs w:val="0"/>
          <w:color w:val="auto"/>
          <w:szCs w:val="32"/>
        </w:rPr>
      </w:pPr>
      <w:r>
        <w:rPr>
          <w:rFonts w:hint="eastAsia" w:ascii="黑体" w:hAnsi="黑体" w:eastAsia="黑体" w:cs="黑体"/>
          <w:b w:val="0"/>
          <w:bCs w:val="0"/>
          <w:color w:val="auto"/>
          <w:szCs w:val="32"/>
        </w:rPr>
        <w:t>一、不合格项目小知识</w:t>
      </w:r>
    </w:p>
    <w:p>
      <w:pPr>
        <w:keepNext w:val="0"/>
        <w:keepLines w:val="0"/>
        <w:pageBreakBefore w:val="0"/>
        <w:widowControl/>
        <w:kinsoku/>
        <w:wordWrap/>
        <w:overflowPunct/>
        <w:topLinePunct w:val="0"/>
        <w:autoSpaceDE/>
        <w:autoSpaceDN/>
        <w:bidi w:val="0"/>
        <w:adjustRightInd/>
        <w:snapToGrid/>
        <w:spacing w:line="579" w:lineRule="exact"/>
        <w:ind w:firstLine="643" w:firstLineChars="0"/>
        <w:jc w:val="left"/>
        <w:textAlignment w:val="auto"/>
        <w:rPr>
          <w:rFonts w:hint="eastAsia" w:ascii="楷体_GB2312" w:hAnsi="楷体_GB2312" w:eastAsia="楷体_GB2312" w:cs="楷体_GB2312"/>
          <w:b/>
          <w:color w:val="auto"/>
          <w:kern w:val="2"/>
          <w:sz w:val="32"/>
          <w:szCs w:val="32"/>
          <w:lang w:val="en-US" w:eastAsia="zh-CN"/>
        </w:rPr>
      </w:pPr>
      <w:r>
        <w:rPr>
          <w:rFonts w:hint="eastAsia" w:ascii="楷体_GB2312" w:hAnsi="楷体_GB2312" w:eastAsia="楷体_GB2312" w:cs="楷体_GB2312"/>
          <w:b/>
          <w:color w:val="auto"/>
          <w:kern w:val="2"/>
          <w:sz w:val="32"/>
          <w:szCs w:val="32"/>
          <w:lang w:val="en-US" w:eastAsia="zh-CN"/>
        </w:rPr>
        <w:t>（一）过氧化值</w:t>
      </w:r>
    </w:p>
    <w:p>
      <w:pPr>
        <w:pStyle w:val="8"/>
        <w:keepNext w:val="0"/>
        <w:keepLines w:val="0"/>
        <w:pageBreakBefore w:val="0"/>
        <w:widowControl w:val="0"/>
        <w:kinsoku/>
        <w:wordWrap/>
        <w:overflowPunct/>
        <w:topLinePunct w:val="0"/>
        <w:autoSpaceDE/>
        <w:autoSpaceDN/>
        <w:bidi w:val="0"/>
        <w:adjustRightInd/>
        <w:snapToGrid/>
        <w:spacing w:line="579" w:lineRule="exact"/>
        <w:textAlignment w:val="auto"/>
        <w:rPr>
          <w:rFonts w:hint="default" w:cs="Times New Roman"/>
          <w:lang w:val="en-US" w:eastAsia="zh-CN"/>
        </w:rPr>
      </w:pPr>
      <w:r>
        <w:rPr>
          <w:rFonts w:ascii="Times New Roman" w:hAnsi="Times New Roman" w:eastAsia="仿宋_GB2312"/>
          <w:sz w:val="32"/>
          <w:szCs w:val="32"/>
        </w:rPr>
        <w:t>过氧化值是油脂酸败的早期指标</w:t>
      </w:r>
      <w:r>
        <w:rPr>
          <w:rFonts w:hint="eastAsia" w:ascii="Times New Roman" w:hAnsi="Times New Roman" w:eastAsia="仿宋_GB2312"/>
          <w:sz w:val="32"/>
          <w:szCs w:val="32"/>
        </w:rPr>
        <w:t>，主要反映油</w:t>
      </w:r>
      <w:bookmarkStart w:id="1" w:name="_GoBack"/>
      <w:bookmarkEnd w:id="1"/>
      <w:r>
        <w:rPr>
          <w:rFonts w:hint="eastAsia" w:ascii="Times New Roman" w:hAnsi="Times New Roman" w:eastAsia="仿宋_GB2312"/>
          <w:sz w:val="32"/>
          <w:szCs w:val="32"/>
        </w:rPr>
        <w:t>脂被氧化的程度</w:t>
      </w:r>
      <w:r>
        <w:rPr>
          <w:rFonts w:ascii="Times New Roman" w:hAnsi="Times New Roman" w:eastAsia="仿宋_GB2312"/>
          <w:sz w:val="32"/>
          <w:szCs w:val="32"/>
        </w:rPr>
        <w:t>。</w:t>
      </w:r>
      <w:r>
        <w:rPr>
          <w:rFonts w:hint="eastAsia" w:cs="Times New Roman"/>
          <w:lang w:val="zh-CN" w:eastAsia="zh-CN"/>
        </w:rPr>
        <w:t>《食品安全国家标准 坚果与籽类食品》（GB 19300—2014）中规定，熟制葵花籽中过氧化值（以脂肪计）的最大限量值为0.80g/100g。</w:t>
      </w:r>
    </w:p>
    <w:p>
      <w:pPr>
        <w:keepNext w:val="0"/>
        <w:keepLines w:val="0"/>
        <w:pageBreakBefore w:val="0"/>
        <w:widowControl/>
        <w:kinsoku/>
        <w:wordWrap/>
        <w:overflowPunct/>
        <w:topLinePunct w:val="0"/>
        <w:autoSpaceDE/>
        <w:autoSpaceDN/>
        <w:bidi w:val="0"/>
        <w:adjustRightInd/>
        <w:snapToGrid/>
        <w:spacing w:line="579" w:lineRule="exact"/>
        <w:ind w:firstLine="643" w:firstLineChars="0"/>
        <w:jc w:val="left"/>
        <w:textAlignment w:val="auto"/>
        <w:rPr>
          <w:rFonts w:hint="default" w:ascii="楷体_GB2312" w:hAnsi="楷体_GB2312" w:eastAsia="楷体_GB2312" w:cs="楷体_GB2312"/>
          <w:b/>
          <w:color w:val="auto"/>
          <w:kern w:val="2"/>
          <w:sz w:val="32"/>
          <w:szCs w:val="32"/>
          <w:lang w:val="en-US" w:eastAsia="zh-CN"/>
        </w:rPr>
      </w:pPr>
      <w:r>
        <w:rPr>
          <w:rFonts w:hint="eastAsia" w:ascii="楷体_GB2312" w:hAnsi="楷体_GB2312" w:eastAsia="楷体_GB2312" w:cs="楷体_GB2312"/>
          <w:b/>
          <w:color w:val="auto"/>
          <w:kern w:val="2"/>
          <w:sz w:val="32"/>
          <w:szCs w:val="32"/>
          <w:lang w:val="zh-CN" w:eastAsia="zh-CN"/>
        </w:rPr>
        <w:t>（</w:t>
      </w:r>
      <w:r>
        <w:rPr>
          <w:rFonts w:hint="eastAsia" w:ascii="楷体_GB2312" w:hAnsi="楷体_GB2312" w:eastAsia="楷体_GB2312" w:cs="楷体_GB2312"/>
          <w:b/>
          <w:color w:val="auto"/>
          <w:kern w:val="2"/>
          <w:sz w:val="32"/>
          <w:szCs w:val="32"/>
          <w:lang w:val="en-US" w:eastAsia="zh-CN"/>
        </w:rPr>
        <w:t>二</w:t>
      </w:r>
      <w:r>
        <w:rPr>
          <w:rFonts w:hint="eastAsia" w:ascii="楷体_GB2312" w:hAnsi="楷体_GB2312" w:eastAsia="楷体_GB2312" w:cs="楷体_GB2312"/>
          <w:b/>
          <w:color w:val="auto"/>
          <w:kern w:val="2"/>
          <w:sz w:val="32"/>
          <w:szCs w:val="32"/>
          <w:lang w:val="zh-CN" w:eastAsia="zh-CN"/>
        </w:rPr>
        <w:t>）玉米赤霉烯酮</w:t>
      </w:r>
    </w:p>
    <w:p>
      <w:pPr>
        <w:pStyle w:val="8"/>
        <w:keepNext w:val="0"/>
        <w:keepLines w:val="0"/>
        <w:pageBreakBefore w:val="0"/>
        <w:widowControl w:val="0"/>
        <w:kinsoku/>
        <w:wordWrap/>
        <w:overflowPunct/>
        <w:topLinePunct w:val="0"/>
        <w:autoSpaceDE/>
        <w:autoSpaceDN/>
        <w:bidi w:val="0"/>
        <w:adjustRightInd/>
        <w:snapToGrid/>
        <w:spacing w:line="579" w:lineRule="exact"/>
        <w:textAlignment w:val="auto"/>
        <w:rPr>
          <w:rFonts w:hint="eastAsia" w:cs="Times New Roman"/>
          <w:lang w:val="en-US" w:eastAsia="zh-CN"/>
        </w:rPr>
      </w:pPr>
      <w:r>
        <w:rPr>
          <w:rFonts w:hint="eastAsia"/>
          <w:lang w:val="zh-CN" w:eastAsia="zh-CN"/>
        </w:rPr>
        <w:t>玉米赤霉烯酮又称F-2毒素，</w:t>
      </w:r>
      <w:r>
        <w:rPr>
          <w:rFonts w:hint="eastAsia"/>
          <w:lang w:val="en-US" w:eastAsia="zh-CN"/>
        </w:rPr>
        <w:t>主要污染玉米，对大麦、</w:t>
      </w:r>
      <w:r>
        <w:rPr>
          <w:rFonts w:hint="eastAsia" w:cs="Times New Roman"/>
          <w:lang w:val="en-US" w:eastAsia="zh-CN"/>
        </w:rPr>
        <w:t>小麦、高粱、小米和大米也有污染，在面粉、麦芽、啤酒及大豆及其制品中也有检出。</w:t>
      </w:r>
      <w:r>
        <w:rPr>
          <w:rFonts w:hint="eastAsia" w:cs="Times New Roman"/>
          <w:lang w:val="zh-CN" w:eastAsia="zh-CN"/>
        </w:rPr>
        <w:t>《食品安全国家标准 食品中真菌毒素限量》（GB 2761</w:t>
      </w:r>
      <w:r>
        <w:rPr>
          <w:rFonts w:hint="eastAsia" w:cs="Times New Roman"/>
          <w:lang w:val="en-US" w:eastAsia="zh-CN"/>
        </w:rPr>
        <w:t>—20</w:t>
      </w:r>
      <w:r>
        <w:rPr>
          <w:rFonts w:hint="eastAsia" w:cs="Times New Roman"/>
          <w:lang w:val="zh-CN" w:eastAsia="zh-CN"/>
        </w:rPr>
        <w:t>17）中规定，玉米粉中玉米赤霉烯酮应≤60μg/kg</w:t>
      </w:r>
      <w:r>
        <w:rPr>
          <w:rFonts w:hint="eastAsia" w:cs="Times New Roman"/>
          <w:lang w:val="en-US" w:eastAsia="zh-CN"/>
        </w:rPr>
        <w:t>。</w:t>
      </w:r>
    </w:p>
    <w:p>
      <w:pPr>
        <w:keepNext w:val="0"/>
        <w:keepLines w:val="0"/>
        <w:pageBreakBefore w:val="0"/>
        <w:widowControl/>
        <w:kinsoku/>
        <w:wordWrap/>
        <w:overflowPunct/>
        <w:topLinePunct w:val="0"/>
        <w:autoSpaceDE/>
        <w:autoSpaceDN/>
        <w:bidi w:val="0"/>
        <w:adjustRightInd/>
        <w:snapToGrid/>
        <w:spacing w:line="579" w:lineRule="exact"/>
        <w:ind w:firstLine="643" w:firstLineChars="0"/>
        <w:jc w:val="left"/>
        <w:textAlignment w:val="auto"/>
        <w:rPr>
          <w:rFonts w:hint="eastAsia" w:ascii="楷体_GB2312" w:hAnsi="楷体_GB2312" w:eastAsia="楷体_GB2312" w:cs="楷体_GB2312"/>
          <w:b/>
          <w:color w:val="auto"/>
          <w:kern w:val="2"/>
          <w:sz w:val="32"/>
          <w:szCs w:val="32"/>
          <w:lang w:val="en-US" w:eastAsia="zh-CN"/>
        </w:rPr>
      </w:pPr>
      <w:r>
        <w:rPr>
          <w:rFonts w:hint="eastAsia" w:ascii="楷体_GB2312" w:hAnsi="楷体_GB2312" w:eastAsia="楷体_GB2312" w:cs="楷体_GB2312"/>
          <w:b/>
          <w:color w:val="auto"/>
          <w:kern w:val="2"/>
          <w:sz w:val="32"/>
          <w:szCs w:val="32"/>
          <w:lang w:val="en-US" w:eastAsia="zh-CN"/>
        </w:rPr>
        <w:t>（三）日落黄</w:t>
      </w:r>
    </w:p>
    <w:p>
      <w:pPr>
        <w:pStyle w:val="8"/>
        <w:keepNext w:val="0"/>
        <w:keepLines w:val="0"/>
        <w:pageBreakBefore w:val="0"/>
        <w:widowControl w:val="0"/>
        <w:kinsoku/>
        <w:wordWrap/>
        <w:overflowPunct/>
        <w:topLinePunct w:val="0"/>
        <w:autoSpaceDE/>
        <w:autoSpaceDN/>
        <w:bidi w:val="0"/>
        <w:adjustRightInd/>
        <w:snapToGrid/>
        <w:spacing w:line="579" w:lineRule="exact"/>
        <w:textAlignment w:val="auto"/>
        <w:rPr>
          <w:rFonts w:hint="eastAsia" w:cs="Times New Roman"/>
          <w:lang w:val="zh-CN" w:eastAsia="zh-CN"/>
        </w:rPr>
      </w:pPr>
      <w:r>
        <w:rPr>
          <w:rFonts w:hint="eastAsia" w:eastAsia="仿宋_GB2312" w:cs="Times New Roman"/>
          <w:color w:val="000000"/>
          <w:sz w:val="32"/>
          <w:szCs w:val="32"/>
          <w:highlight w:val="none"/>
          <w:lang w:val="en-US" w:eastAsia="zh-CN"/>
        </w:rPr>
        <w:t>日落黄属于</w:t>
      </w:r>
      <w:r>
        <w:rPr>
          <w:rFonts w:hint="eastAsia" w:ascii="Times New Roman" w:hAnsi="Times New Roman" w:eastAsia="仿宋_GB2312" w:cs="Times New Roman"/>
          <w:color w:val="000000"/>
          <w:sz w:val="32"/>
          <w:szCs w:val="32"/>
          <w:highlight w:val="none"/>
          <w:lang w:eastAsia="zh-CN"/>
        </w:rPr>
        <w:t>水溶性</w:t>
      </w:r>
      <w:r>
        <w:rPr>
          <w:rFonts w:hint="default" w:ascii="Times New Roman" w:hAnsi="Times New Roman" w:eastAsia="仿宋_GB2312" w:cs="Times New Roman"/>
          <w:color w:val="000000"/>
          <w:sz w:val="32"/>
          <w:szCs w:val="32"/>
          <w:highlight w:val="none"/>
        </w:rPr>
        <w:t>偶氮类</w:t>
      </w:r>
      <w:r>
        <w:rPr>
          <w:rFonts w:hint="default" w:ascii="Times New Roman" w:hAnsi="Times New Roman" w:eastAsia="仿宋_GB2312" w:cs="Times New Roman"/>
          <w:color w:val="000000"/>
          <w:sz w:val="32"/>
          <w:szCs w:val="32"/>
          <w:highlight w:val="none"/>
          <w:lang w:eastAsia="zh-CN"/>
        </w:rPr>
        <w:t>化合物</w:t>
      </w:r>
      <w:r>
        <w:rPr>
          <w:rFonts w:hint="default" w:ascii="Times New Roman" w:hAnsi="Times New Roman" w:eastAsia="仿宋_GB2312" w:cs="Times New Roman"/>
          <w:color w:val="000000"/>
          <w:sz w:val="32"/>
          <w:szCs w:val="32"/>
          <w:highlight w:val="none"/>
        </w:rPr>
        <w:t>，是常见的人工合成着色剂，在食品</w:t>
      </w:r>
      <w:r>
        <w:rPr>
          <w:rFonts w:hint="default" w:ascii="Times New Roman" w:hAnsi="Times New Roman" w:eastAsia="仿宋_GB2312" w:cs="Times New Roman"/>
          <w:color w:val="000000"/>
          <w:sz w:val="32"/>
          <w:szCs w:val="32"/>
          <w:highlight w:val="none"/>
          <w:lang w:eastAsia="zh-CN"/>
        </w:rPr>
        <w:t>生产</w:t>
      </w:r>
      <w:r>
        <w:rPr>
          <w:rFonts w:hint="default" w:ascii="Times New Roman" w:hAnsi="Times New Roman" w:eastAsia="仿宋_GB2312" w:cs="Times New Roman"/>
          <w:color w:val="000000"/>
          <w:sz w:val="32"/>
          <w:szCs w:val="32"/>
          <w:highlight w:val="none"/>
        </w:rPr>
        <w:t>中应用广泛。</w:t>
      </w:r>
      <w:r>
        <w:rPr>
          <w:rFonts w:hint="eastAsia" w:cs="Times New Roman"/>
          <w:lang w:val="en-US" w:eastAsia="zh-CN"/>
        </w:rPr>
        <w:t>《食品安全国家标准 食品添加剂使用标准》（GB 2760—2024）中规定，香辛料中不得使用日落黄。</w:t>
      </w:r>
    </w:p>
    <w:p>
      <w:pPr>
        <w:keepNext w:val="0"/>
        <w:keepLines w:val="0"/>
        <w:pageBreakBefore w:val="0"/>
        <w:widowControl/>
        <w:kinsoku/>
        <w:wordWrap/>
        <w:overflowPunct/>
        <w:topLinePunct w:val="0"/>
        <w:autoSpaceDE/>
        <w:autoSpaceDN/>
        <w:bidi w:val="0"/>
        <w:adjustRightInd/>
        <w:snapToGrid/>
        <w:spacing w:line="579" w:lineRule="exact"/>
        <w:ind w:firstLine="643" w:firstLineChars="0"/>
        <w:jc w:val="left"/>
        <w:textAlignment w:val="auto"/>
        <w:rPr>
          <w:rFonts w:hint="eastAsia" w:ascii="楷体_GB2312" w:hAnsi="楷体_GB2312" w:eastAsia="楷体_GB2312" w:cs="楷体_GB2312"/>
          <w:b/>
          <w:color w:val="auto"/>
          <w:kern w:val="2"/>
          <w:sz w:val="32"/>
          <w:szCs w:val="32"/>
          <w:lang w:val="zh-CN" w:eastAsia="zh-CN"/>
        </w:rPr>
      </w:pPr>
      <w:r>
        <w:rPr>
          <w:rFonts w:hint="eastAsia" w:ascii="楷体_GB2312" w:hAnsi="楷体_GB2312" w:eastAsia="楷体_GB2312" w:cs="楷体_GB2312"/>
          <w:b/>
          <w:color w:val="auto"/>
          <w:kern w:val="2"/>
          <w:sz w:val="32"/>
          <w:szCs w:val="32"/>
          <w:lang w:val="zh-CN" w:eastAsia="zh-CN"/>
        </w:rPr>
        <w:t>（</w:t>
      </w:r>
      <w:r>
        <w:rPr>
          <w:rFonts w:hint="eastAsia" w:ascii="楷体_GB2312" w:hAnsi="楷体_GB2312" w:eastAsia="楷体_GB2312" w:cs="楷体_GB2312"/>
          <w:b/>
          <w:color w:val="auto"/>
          <w:kern w:val="2"/>
          <w:sz w:val="32"/>
          <w:szCs w:val="32"/>
          <w:lang w:val="en-US" w:eastAsia="zh-CN"/>
        </w:rPr>
        <w:t>四</w:t>
      </w:r>
      <w:r>
        <w:rPr>
          <w:rFonts w:hint="eastAsia" w:ascii="楷体_GB2312" w:hAnsi="楷体_GB2312" w:eastAsia="楷体_GB2312" w:cs="楷体_GB2312"/>
          <w:b/>
          <w:color w:val="auto"/>
          <w:kern w:val="2"/>
          <w:sz w:val="32"/>
          <w:szCs w:val="32"/>
          <w:lang w:val="zh-CN" w:eastAsia="zh-CN"/>
        </w:rPr>
        <w:t>）大肠菌群</w:t>
      </w:r>
    </w:p>
    <w:p>
      <w:pPr>
        <w:keepNext w:val="0"/>
        <w:keepLines w:val="0"/>
        <w:pageBreakBefore w:val="0"/>
        <w:widowControl/>
        <w:kinsoku/>
        <w:wordWrap/>
        <w:overflowPunct/>
        <w:topLinePunct w:val="0"/>
        <w:autoSpaceDE/>
        <w:autoSpaceDN/>
        <w:bidi w:val="0"/>
        <w:adjustRightInd/>
        <w:snapToGrid/>
        <w:spacing w:line="579" w:lineRule="exact"/>
        <w:ind w:firstLine="0"/>
        <w:textAlignment w:val="auto"/>
        <w:rPr>
          <w:rFonts w:hint="eastAsia" w:ascii="仿宋_GB2312" w:hAnsi="仿宋_GB2312" w:eastAsia="仿宋_GB2312" w:cs="仿宋_GB2312"/>
          <w:color w:val="auto"/>
          <w:sz w:val="32"/>
          <w:szCs w:val="32"/>
          <w:lang w:val="en-US" w:eastAsia="zh-CN"/>
        </w:rPr>
      </w:pPr>
      <w:r>
        <w:rPr>
          <w:rFonts w:hint="default" w:ascii="Times New Roman" w:hAnsi="Times New Roman" w:eastAsia="仿宋_GB2312" w:cs="Times New Roman"/>
          <w:kern w:val="2"/>
          <w:sz w:val="32"/>
          <w:szCs w:val="32"/>
          <w:highlight w:val="none"/>
          <w:lang w:val="en-US" w:eastAsia="zh-CN" w:bidi="ar-SA"/>
        </w:rPr>
        <w:t>大肠菌群是反映食品卫生质量以及提示生产加工环境潜在微生物风险的指示性指标，食品或消毒餐饮具中检出大肠菌群提示被致病菌（如沙门氏菌、志贺氏菌、致泻大肠埃希氏菌等）污染的可能性较大。</w:t>
      </w:r>
      <w:r>
        <w:rPr>
          <w:rFonts w:hint="eastAsia" w:ascii="仿宋_GB2312" w:hAnsi="仿宋_GB2312" w:eastAsia="仿宋_GB2312" w:cs="仿宋_GB2312"/>
          <w:kern w:val="2"/>
          <w:sz w:val="32"/>
          <w:szCs w:val="32"/>
          <w:lang w:val="zh-CN" w:eastAsia="zh-CN" w:bidi="ar-SA"/>
        </w:rPr>
        <w:t>《食品安全国家标准 消毒餐（饮）具》（GB 14934</w:t>
      </w:r>
      <w:r>
        <w:rPr>
          <w:rFonts w:hint="eastAsia" w:ascii="仿宋_GB2312" w:hAnsi="仿宋_GB2312" w:eastAsia="仿宋_GB2312" w:cs="仿宋_GB2312"/>
          <w:kern w:val="2"/>
          <w:sz w:val="32"/>
          <w:szCs w:val="32"/>
          <w:lang w:val="en-US" w:eastAsia="zh-CN" w:bidi="ar-SA"/>
        </w:rPr>
        <w:t>—20</w:t>
      </w:r>
      <w:r>
        <w:rPr>
          <w:rFonts w:hint="eastAsia" w:ascii="仿宋_GB2312" w:hAnsi="仿宋_GB2312" w:eastAsia="仿宋_GB2312" w:cs="仿宋_GB2312"/>
          <w:kern w:val="2"/>
          <w:sz w:val="32"/>
          <w:szCs w:val="32"/>
          <w:lang w:val="zh-CN" w:eastAsia="zh-CN" w:bidi="ar-SA"/>
        </w:rPr>
        <w:t>16）中规定，消毒餐（饮）</w:t>
      </w:r>
      <w:r>
        <w:rPr>
          <w:rFonts w:hint="eastAsia" w:ascii="仿宋_GB2312" w:hAnsi="仿宋_GB2312" w:eastAsia="仿宋_GB2312" w:cs="仿宋_GB2312"/>
          <w:color w:val="auto"/>
          <w:sz w:val="32"/>
          <w:szCs w:val="32"/>
          <w:lang w:val="zh-CN"/>
        </w:rPr>
        <w:t>具（每50cm</w:t>
      </w:r>
      <w:r>
        <w:rPr>
          <w:rFonts w:hint="eastAsia" w:ascii="仿宋_GB2312" w:hAnsi="仿宋_GB2312" w:eastAsia="仿宋_GB2312" w:cs="仿宋_GB2312"/>
          <w:color w:val="auto"/>
          <w:sz w:val="32"/>
          <w:szCs w:val="32"/>
          <w:vertAlign w:val="superscript"/>
          <w:lang w:val="zh-CN"/>
        </w:rPr>
        <w:t>2</w:t>
      </w:r>
      <w:r>
        <w:rPr>
          <w:rFonts w:hint="eastAsia" w:ascii="仿宋_GB2312" w:hAnsi="仿宋_GB2312" w:eastAsia="仿宋_GB2312" w:cs="仿宋_GB2312"/>
          <w:color w:val="auto"/>
          <w:sz w:val="32"/>
          <w:szCs w:val="32"/>
          <w:lang w:val="zh-CN"/>
        </w:rPr>
        <w:t>）中不得检出大肠菌群。</w:t>
      </w:r>
    </w:p>
    <w:p>
      <w:pPr>
        <w:keepNext w:val="0"/>
        <w:keepLines w:val="0"/>
        <w:pageBreakBefore w:val="0"/>
        <w:widowControl/>
        <w:kinsoku/>
        <w:wordWrap/>
        <w:overflowPunct/>
        <w:topLinePunct w:val="0"/>
        <w:autoSpaceDE/>
        <w:autoSpaceDN/>
        <w:bidi w:val="0"/>
        <w:adjustRightInd/>
        <w:snapToGrid/>
        <w:spacing w:line="579" w:lineRule="exact"/>
        <w:ind w:firstLine="643" w:firstLineChars="0"/>
        <w:jc w:val="left"/>
        <w:textAlignment w:val="auto"/>
        <w:rPr>
          <w:rFonts w:hint="eastAsia" w:ascii="楷体_GB2312" w:hAnsi="楷体_GB2312" w:eastAsia="楷体_GB2312" w:cs="楷体_GB2312"/>
          <w:b/>
          <w:color w:val="auto"/>
          <w:kern w:val="2"/>
          <w:sz w:val="32"/>
          <w:szCs w:val="32"/>
          <w:lang w:val="en-US" w:eastAsia="zh-CN"/>
        </w:rPr>
      </w:pPr>
      <w:r>
        <w:rPr>
          <w:rFonts w:hint="eastAsia" w:ascii="楷体_GB2312" w:hAnsi="楷体_GB2312" w:eastAsia="楷体_GB2312" w:cs="楷体_GB2312"/>
          <w:b/>
          <w:color w:val="auto"/>
          <w:kern w:val="2"/>
          <w:sz w:val="32"/>
          <w:szCs w:val="32"/>
          <w:lang w:val="en-US" w:eastAsia="zh-CN"/>
        </w:rPr>
        <w:t>（五）二氧化硫残留量</w:t>
      </w:r>
    </w:p>
    <w:p>
      <w:pPr>
        <w:pStyle w:val="8"/>
        <w:keepNext w:val="0"/>
        <w:keepLines w:val="0"/>
        <w:pageBreakBefore w:val="0"/>
        <w:widowControl w:val="0"/>
        <w:kinsoku/>
        <w:wordWrap/>
        <w:overflowPunct/>
        <w:topLinePunct w:val="0"/>
        <w:autoSpaceDE/>
        <w:autoSpaceDN/>
        <w:bidi w:val="0"/>
        <w:adjustRightInd/>
        <w:snapToGrid/>
        <w:spacing w:line="579" w:lineRule="exact"/>
        <w:textAlignment w:val="auto"/>
        <w:rPr>
          <w:rFonts w:hint="eastAsia" w:cs="Times New Roman"/>
          <w:lang w:val="en-US" w:eastAsia="zh-CN"/>
        </w:rPr>
      </w:pPr>
      <w:r>
        <w:rPr>
          <w:rFonts w:hint="default" w:ascii="Times New Roman" w:hAnsi="Times New Roman" w:eastAsia="仿宋_GB2312" w:cs="Times New Roman"/>
          <w:color w:val="auto"/>
          <w:kern w:val="2"/>
          <w:sz w:val="32"/>
          <w:szCs w:val="32"/>
          <w:highlight w:val="none"/>
          <w:lang w:val="en-US" w:eastAsia="zh-CN" w:bidi="ar-SA"/>
        </w:rPr>
        <w:t>二氧化硫是食品加工中常用的漂白剂和防腐剂，具有漂白、防腐和抗氧化作用。</w:t>
      </w:r>
      <w:r>
        <w:rPr>
          <w:rFonts w:hint="eastAsia" w:cs="Times New Roman"/>
          <w:lang w:val="zh-CN" w:eastAsia="zh-CN"/>
        </w:rPr>
        <w:t>《食品安全国家标准 食品添加剂使用标准》（GB 2760—2024）中规定，</w:t>
      </w:r>
      <w:r>
        <w:rPr>
          <w:rFonts w:hint="default" w:cs="Times New Roman"/>
          <w:lang w:val="en-US" w:eastAsia="zh-CN"/>
        </w:rPr>
        <w:t>香辛料及粉（八角除外）中不得使用二氧化硫</w:t>
      </w:r>
      <w:r>
        <w:rPr>
          <w:rFonts w:hint="eastAsia" w:cs="Times New Roman"/>
          <w:lang w:val="en-US" w:eastAsia="zh-CN"/>
        </w:rPr>
        <w:t>，蜜饯中二氧化硫（以二氧化硫残留量计）最大使用量为0.35g/kg。</w:t>
      </w:r>
    </w:p>
    <w:p>
      <w:pPr>
        <w:keepNext w:val="0"/>
        <w:keepLines w:val="0"/>
        <w:pageBreakBefore w:val="0"/>
        <w:widowControl/>
        <w:kinsoku/>
        <w:wordWrap/>
        <w:overflowPunct/>
        <w:topLinePunct w:val="0"/>
        <w:autoSpaceDE/>
        <w:autoSpaceDN/>
        <w:bidi w:val="0"/>
        <w:adjustRightInd/>
        <w:snapToGrid/>
        <w:spacing w:line="579" w:lineRule="exact"/>
        <w:ind w:firstLine="643" w:firstLineChars="0"/>
        <w:jc w:val="left"/>
        <w:textAlignment w:val="auto"/>
        <w:rPr>
          <w:rFonts w:hint="eastAsia" w:ascii="楷体_GB2312" w:hAnsi="楷体_GB2312" w:eastAsia="楷体_GB2312" w:cs="楷体_GB2312"/>
          <w:b/>
          <w:color w:val="auto"/>
          <w:kern w:val="2"/>
          <w:sz w:val="32"/>
          <w:szCs w:val="32"/>
          <w:lang w:val="en-US" w:eastAsia="zh-CN"/>
        </w:rPr>
      </w:pPr>
      <w:r>
        <w:rPr>
          <w:rFonts w:hint="eastAsia" w:ascii="楷体_GB2312" w:hAnsi="楷体_GB2312" w:eastAsia="楷体_GB2312" w:cs="楷体_GB2312"/>
          <w:b/>
          <w:color w:val="auto"/>
          <w:kern w:val="2"/>
          <w:sz w:val="32"/>
          <w:szCs w:val="32"/>
          <w:lang w:val="en-US" w:eastAsia="zh-CN"/>
        </w:rPr>
        <w:t>（六）胭脂红</w:t>
      </w:r>
    </w:p>
    <w:p>
      <w:pPr>
        <w:pStyle w:val="8"/>
        <w:keepNext w:val="0"/>
        <w:keepLines w:val="0"/>
        <w:pageBreakBefore w:val="0"/>
        <w:widowControl w:val="0"/>
        <w:kinsoku/>
        <w:wordWrap/>
        <w:overflowPunct/>
        <w:topLinePunct w:val="0"/>
        <w:autoSpaceDE/>
        <w:autoSpaceDN/>
        <w:bidi w:val="0"/>
        <w:adjustRightInd/>
        <w:snapToGrid/>
        <w:spacing w:line="579" w:lineRule="exact"/>
        <w:textAlignment w:val="auto"/>
        <w:rPr>
          <w:rFonts w:hint="eastAsia" w:cs="Times New Roman"/>
          <w:lang w:val="en-US" w:eastAsia="zh-CN"/>
        </w:rPr>
      </w:pPr>
      <w:r>
        <w:rPr>
          <w:rFonts w:hint="eastAsia" w:cs="Times New Roman"/>
          <w:lang w:val="en-US" w:eastAsia="zh-CN"/>
        </w:rPr>
        <w:t>胭脂红又名大红、亮猩红，偶氮类化合物，是常见的人工合成着色剂，在食品生产中应用广泛。《食品安全国家标准 食品添加剂使用标准》（GB 2760</w:t>
      </w:r>
      <w:r>
        <w:rPr>
          <w:rFonts w:hint="eastAsia" w:cs="Times New Roman"/>
          <w:lang w:val="zh-CN" w:eastAsia="zh-CN"/>
        </w:rPr>
        <w:t>—20</w:t>
      </w:r>
      <w:r>
        <w:rPr>
          <w:rFonts w:hint="eastAsia" w:cs="Times New Roman"/>
          <w:lang w:val="en-US" w:eastAsia="zh-CN"/>
        </w:rPr>
        <w:t>24）中规定，香辛料中不得使用胭脂红。</w:t>
      </w:r>
    </w:p>
    <w:p>
      <w:pPr>
        <w:keepNext w:val="0"/>
        <w:keepLines w:val="0"/>
        <w:pageBreakBefore w:val="0"/>
        <w:widowControl/>
        <w:kinsoku/>
        <w:wordWrap/>
        <w:overflowPunct/>
        <w:topLinePunct w:val="0"/>
        <w:autoSpaceDE/>
        <w:autoSpaceDN/>
        <w:bidi w:val="0"/>
        <w:adjustRightInd/>
        <w:snapToGrid/>
        <w:spacing w:line="579" w:lineRule="exact"/>
        <w:ind w:firstLine="643" w:firstLineChars="0"/>
        <w:jc w:val="left"/>
        <w:textAlignment w:val="auto"/>
        <w:rPr>
          <w:rFonts w:hint="eastAsia" w:ascii="楷体_GB2312" w:hAnsi="楷体_GB2312" w:eastAsia="楷体_GB2312" w:cs="楷体_GB2312"/>
          <w:b/>
          <w:color w:val="auto"/>
          <w:kern w:val="2"/>
          <w:sz w:val="32"/>
          <w:szCs w:val="32"/>
          <w:lang w:val="en-US" w:eastAsia="zh-CN"/>
        </w:rPr>
      </w:pPr>
      <w:r>
        <w:rPr>
          <w:rFonts w:hint="eastAsia" w:ascii="楷体_GB2312" w:hAnsi="楷体_GB2312" w:eastAsia="楷体_GB2312" w:cs="楷体_GB2312"/>
          <w:b/>
          <w:color w:val="auto"/>
          <w:kern w:val="2"/>
          <w:sz w:val="32"/>
          <w:szCs w:val="32"/>
          <w:lang w:val="en-US" w:eastAsia="zh-CN"/>
        </w:rPr>
        <w:t>（七）</w:t>
      </w:r>
      <w:r>
        <w:rPr>
          <w:rFonts w:hint="eastAsia" w:ascii="黑体" w:hAnsi="黑体" w:eastAsia="黑体" w:cs="黑体"/>
          <w:color w:val="000000"/>
          <w:sz w:val="32"/>
          <w:szCs w:val="32"/>
          <w:highlight w:val="none"/>
          <w:lang w:eastAsia="zh-CN"/>
        </w:rPr>
        <w:t>阴离子合成洗涤剂（以十二烷基苯磺酸钠计）</w:t>
      </w:r>
    </w:p>
    <w:p>
      <w:pPr>
        <w:keepNext w:val="0"/>
        <w:keepLines w:val="0"/>
        <w:pageBreakBefore w:val="0"/>
        <w:widowControl/>
        <w:suppressLineNumbers w:val="0"/>
        <w:kinsoku/>
        <w:wordWrap/>
        <w:overflowPunct/>
        <w:topLinePunct w:val="0"/>
        <w:autoSpaceDE/>
        <w:autoSpaceDN/>
        <w:bidi w:val="0"/>
        <w:adjustRightInd/>
        <w:snapToGrid/>
        <w:jc w:val="left"/>
        <w:textAlignment w:val="auto"/>
        <w:rPr>
          <w:rFonts w:hint="eastAsia" w:cs="Times New Roman"/>
          <w:lang w:val="en-US" w:eastAsia="zh-CN"/>
        </w:rPr>
      </w:pPr>
      <w:r>
        <w:rPr>
          <w:rFonts w:hint="default" w:ascii="仿宋_GB2312" w:hAnsi="仿宋_GB2312" w:eastAsia="仿宋_GB2312" w:cs="Times New Roman"/>
          <w:kern w:val="2"/>
          <w:sz w:val="32"/>
          <w:szCs w:val="22"/>
          <w:lang w:val="en-US" w:eastAsia="zh-CN" w:bidi="ar-SA"/>
        </w:rPr>
        <w:t>阴离子合成洗涤剂主要成分是十二烷基苯磺酸钠，是洗衣粉、洗洁精、洗衣液、肥皂等洗涤剂的主要成分，是一种低毒物质，因其使用方便、易溶解、稳定性好、成本低等优点被广泛使用。阴离子合成洗涤剂是消毒餐饮具质量评价的重要指标之一。</w:t>
      </w:r>
      <w:r>
        <w:rPr>
          <w:rFonts w:hint="eastAsia" w:cs="Times New Roman"/>
          <w:lang w:val="en-US" w:eastAsia="zh-CN"/>
        </w:rPr>
        <w:t>《</w:t>
      </w:r>
      <w:r>
        <w:rPr>
          <w:rFonts w:hint="eastAsia" w:cs="Times New Roman"/>
          <w:lang w:val="zh-CN" w:eastAsia="zh-CN"/>
        </w:rPr>
        <w:t>食品安全国家标准 消毒餐（饮）具》（GB 14934</w:t>
      </w:r>
      <w:r>
        <w:rPr>
          <w:rFonts w:hint="eastAsia" w:cs="Times New Roman"/>
          <w:lang w:val="en-US" w:eastAsia="zh-CN"/>
        </w:rPr>
        <w:t>—20</w:t>
      </w:r>
      <w:r>
        <w:rPr>
          <w:rFonts w:hint="eastAsia" w:cs="Times New Roman"/>
          <w:lang w:val="zh-CN" w:eastAsia="zh-CN"/>
        </w:rPr>
        <w:t>16）中规定，消毒餐（饮）具中不得检出</w:t>
      </w:r>
      <w:r>
        <w:rPr>
          <w:rFonts w:hint="eastAsia" w:cs="Times New Roman"/>
          <w:lang w:val="en-US" w:eastAsia="zh-CN"/>
        </w:rPr>
        <w:t>阴离子合成洗涤剂(以十二烷基苯磺酸钠计)</w:t>
      </w:r>
      <w:r>
        <w:rPr>
          <w:rFonts w:hint="eastAsia" w:cs="Times New Roman"/>
          <w:lang w:val="zh-CN" w:eastAsia="zh-CN"/>
        </w:rPr>
        <w:t>。</w:t>
      </w:r>
    </w:p>
    <w:p>
      <w:pPr>
        <w:keepNext w:val="0"/>
        <w:keepLines w:val="0"/>
        <w:pageBreakBefore w:val="0"/>
        <w:widowControl/>
        <w:kinsoku/>
        <w:wordWrap/>
        <w:overflowPunct/>
        <w:topLinePunct w:val="0"/>
        <w:autoSpaceDE/>
        <w:autoSpaceDN/>
        <w:bidi w:val="0"/>
        <w:adjustRightInd/>
        <w:snapToGrid/>
        <w:spacing w:line="579" w:lineRule="exact"/>
        <w:ind w:firstLine="643" w:firstLineChars="0"/>
        <w:jc w:val="left"/>
        <w:textAlignment w:val="auto"/>
        <w:rPr>
          <w:rFonts w:hint="eastAsia" w:ascii="楷体_GB2312" w:hAnsi="楷体_GB2312" w:eastAsia="楷体_GB2312" w:cs="楷体_GB2312"/>
          <w:b/>
          <w:color w:val="auto"/>
          <w:kern w:val="2"/>
          <w:sz w:val="32"/>
          <w:szCs w:val="32"/>
          <w:lang w:val="zh-CN"/>
        </w:rPr>
      </w:pPr>
      <w:bookmarkStart w:id="0" w:name="OLE_LINK9"/>
      <w:r>
        <w:rPr>
          <w:rFonts w:hint="eastAsia" w:ascii="楷体_GB2312" w:hAnsi="楷体_GB2312" w:eastAsia="楷体_GB2312" w:cs="楷体_GB2312"/>
          <w:b/>
          <w:color w:val="auto"/>
          <w:kern w:val="2"/>
          <w:sz w:val="32"/>
          <w:szCs w:val="32"/>
          <w:lang w:val="zh-CN"/>
        </w:rPr>
        <w:t>（</w:t>
      </w:r>
      <w:r>
        <w:rPr>
          <w:rFonts w:hint="eastAsia" w:ascii="楷体_GB2312" w:hAnsi="楷体_GB2312" w:eastAsia="楷体_GB2312" w:cs="楷体_GB2312"/>
          <w:b/>
          <w:color w:val="auto"/>
          <w:kern w:val="2"/>
          <w:sz w:val="32"/>
          <w:szCs w:val="32"/>
          <w:lang w:val="en-US" w:eastAsia="zh-CN"/>
        </w:rPr>
        <w:t>八</w:t>
      </w:r>
      <w:r>
        <w:rPr>
          <w:rFonts w:hint="eastAsia" w:ascii="楷体_GB2312" w:hAnsi="楷体_GB2312" w:eastAsia="楷体_GB2312" w:cs="楷体_GB2312"/>
          <w:b/>
          <w:color w:val="auto"/>
          <w:kern w:val="2"/>
          <w:sz w:val="32"/>
          <w:szCs w:val="32"/>
          <w:lang w:val="zh-CN"/>
        </w:rPr>
        <w:t>）脱氧雪腐镰刀菌烯醇</w:t>
      </w:r>
    </w:p>
    <w:bookmarkEnd w:id="0"/>
    <w:p>
      <w:pPr>
        <w:pStyle w:val="8"/>
        <w:keepNext w:val="0"/>
        <w:keepLines w:val="0"/>
        <w:pageBreakBefore w:val="0"/>
        <w:widowControl w:val="0"/>
        <w:kinsoku/>
        <w:wordWrap/>
        <w:overflowPunct/>
        <w:topLinePunct w:val="0"/>
        <w:autoSpaceDE/>
        <w:autoSpaceDN/>
        <w:bidi w:val="0"/>
        <w:adjustRightInd/>
        <w:snapToGrid/>
        <w:spacing w:line="579" w:lineRule="exact"/>
        <w:ind w:left="0" w:leftChars="0" w:firstLine="640" w:firstLineChars="200"/>
        <w:textAlignment w:val="auto"/>
        <w:rPr>
          <w:rFonts w:hint="eastAsia" w:cs="Times New Roman"/>
          <w:lang w:val="en-US" w:eastAsia="zh-CN"/>
        </w:rPr>
      </w:pPr>
      <w:r>
        <w:rPr>
          <w:rFonts w:hint="eastAsia" w:cs="Times New Roman"/>
          <w:lang w:val="en-US" w:eastAsia="zh-CN"/>
        </w:rPr>
        <w:t>脱氧雪腐镰刀菌烯醇也称呕吐毒素，主要由禾谷镰刀菌、黄色镰刀菌以及雪腐镰刀菌产生，是单端孢霉烯族毒素的一种。《食品安全国家标准 食品中真菌毒素限量》（GB 2761—2017）中规定，玉米、玉米面（渣、片）中脱氧雪腐镰刀菌烯醇的最大限量值为1mg/kg。</w:t>
      </w:r>
    </w:p>
    <w:p>
      <w:pPr>
        <w:keepNext w:val="0"/>
        <w:keepLines w:val="0"/>
        <w:pageBreakBefore w:val="0"/>
        <w:widowControl/>
        <w:kinsoku/>
        <w:wordWrap/>
        <w:overflowPunct/>
        <w:topLinePunct w:val="0"/>
        <w:autoSpaceDE/>
        <w:autoSpaceDN/>
        <w:bidi w:val="0"/>
        <w:adjustRightInd/>
        <w:snapToGrid/>
        <w:spacing w:line="579" w:lineRule="exact"/>
        <w:ind w:firstLine="0"/>
        <w:textAlignment w:val="auto"/>
        <w:rPr>
          <w:rFonts w:hint="eastAsia" w:ascii="黑体" w:hAnsi="黑体" w:eastAsia="黑体" w:cs="黑体"/>
          <w:b w:val="0"/>
          <w:bCs w:val="0"/>
          <w:color w:val="auto"/>
          <w:szCs w:val="32"/>
        </w:rPr>
      </w:pPr>
      <w:r>
        <w:rPr>
          <w:rFonts w:hint="eastAsia" w:ascii="黑体" w:hAnsi="黑体" w:eastAsia="黑体" w:cs="黑体"/>
          <w:b w:val="0"/>
          <w:bCs w:val="0"/>
          <w:color w:val="auto"/>
          <w:szCs w:val="32"/>
        </w:rPr>
        <w:t>二、建议</w:t>
      </w:r>
    </w:p>
    <w:p>
      <w:pPr>
        <w:keepNext w:val="0"/>
        <w:keepLines w:val="0"/>
        <w:pageBreakBefore w:val="0"/>
        <w:widowControl/>
        <w:kinsoku/>
        <w:wordWrap/>
        <w:overflowPunct/>
        <w:topLinePunct w:val="0"/>
        <w:autoSpaceDE/>
        <w:autoSpaceDN/>
        <w:bidi w:val="0"/>
        <w:adjustRightInd/>
        <w:snapToGrid/>
        <w:spacing w:line="579" w:lineRule="exact"/>
        <w:ind w:firstLine="643" w:firstLineChars="0"/>
        <w:jc w:val="left"/>
        <w:textAlignment w:val="auto"/>
        <w:rPr>
          <w:rFonts w:hint="eastAsia" w:ascii="楷体_GB2312" w:hAnsi="楷体_GB2312" w:eastAsia="楷体_GB2312" w:cs="楷体_GB2312"/>
          <w:b/>
          <w:color w:val="auto"/>
          <w:kern w:val="2"/>
          <w:sz w:val="32"/>
          <w:szCs w:val="32"/>
          <w:lang w:val="zh-CN" w:eastAsia="zh-CN"/>
        </w:rPr>
      </w:pPr>
      <w:r>
        <w:rPr>
          <w:rFonts w:hint="eastAsia" w:ascii="楷体_GB2312" w:hAnsi="楷体_GB2312" w:eastAsia="楷体_GB2312" w:cs="楷体_GB2312"/>
          <w:b/>
          <w:color w:val="auto"/>
          <w:kern w:val="2"/>
          <w:sz w:val="32"/>
          <w:szCs w:val="32"/>
          <w:lang w:val="zh-CN" w:eastAsia="zh-CN"/>
        </w:rPr>
        <w:t>（一）加强原辅料的把控</w:t>
      </w:r>
    </w:p>
    <w:p>
      <w:pPr>
        <w:pStyle w:val="8"/>
        <w:keepNext w:val="0"/>
        <w:keepLines w:val="0"/>
        <w:pageBreakBefore w:val="0"/>
        <w:kinsoku/>
        <w:wordWrap/>
        <w:overflowPunct/>
        <w:topLinePunct w:val="0"/>
        <w:autoSpaceDE/>
        <w:autoSpaceDN/>
        <w:bidi w:val="0"/>
        <w:adjustRightInd/>
        <w:snapToGrid/>
        <w:spacing w:line="579" w:lineRule="exact"/>
        <w:textAlignment w:val="auto"/>
        <w:rPr>
          <w:rFonts w:hint="eastAsia"/>
          <w:lang w:val="en-US" w:eastAsia="zh-CN"/>
        </w:rPr>
      </w:pPr>
      <w:r>
        <w:rPr>
          <w:rFonts w:hint="eastAsia"/>
          <w:lang w:val="en-US" w:eastAsia="zh-CN"/>
        </w:rPr>
        <w:t>食品原辅料的质量与卫生是食品质量安全的前提。食品生产经营单位应加强对所使用的原材料的质量管理，不得采购腐败变质、发霉、质量不新鲜的食品原辅料，确保各种原辅料的质量符合标准的有关规定和要求。</w:t>
      </w:r>
    </w:p>
    <w:p>
      <w:pPr>
        <w:keepNext w:val="0"/>
        <w:keepLines w:val="0"/>
        <w:pageBreakBefore w:val="0"/>
        <w:widowControl/>
        <w:kinsoku/>
        <w:wordWrap/>
        <w:overflowPunct/>
        <w:topLinePunct w:val="0"/>
        <w:autoSpaceDE/>
        <w:autoSpaceDN/>
        <w:bidi w:val="0"/>
        <w:adjustRightInd/>
        <w:snapToGrid/>
        <w:spacing w:line="579" w:lineRule="exact"/>
        <w:ind w:firstLine="643" w:firstLineChars="0"/>
        <w:jc w:val="left"/>
        <w:textAlignment w:val="auto"/>
        <w:rPr>
          <w:rFonts w:hint="eastAsia" w:ascii="楷体_GB2312" w:hAnsi="楷体_GB2312" w:eastAsia="楷体_GB2312" w:cs="楷体_GB2312"/>
          <w:b/>
          <w:color w:val="auto"/>
          <w:kern w:val="2"/>
          <w:sz w:val="32"/>
          <w:szCs w:val="32"/>
          <w:lang w:val="zh-CN" w:eastAsia="zh-CN"/>
        </w:rPr>
      </w:pPr>
      <w:r>
        <w:rPr>
          <w:rFonts w:hint="eastAsia" w:ascii="楷体_GB2312" w:hAnsi="楷体_GB2312" w:eastAsia="楷体_GB2312" w:cs="楷体_GB2312"/>
          <w:b/>
          <w:color w:val="auto"/>
          <w:kern w:val="2"/>
          <w:sz w:val="32"/>
          <w:szCs w:val="32"/>
          <w:lang w:val="zh-CN" w:eastAsia="zh-CN"/>
        </w:rPr>
        <w:t>（二）加强运输、存储环境控制</w:t>
      </w:r>
    </w:p>
    <w:p>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eastAsia" w:ascii="仿宋_GB2312" w:hAnsi="仿宋" w:eastAsia="仿宋_GB2312" w:cs="仿宋"/>
          <w:sz w:val="32"/>
          <w:szCs w:val="32"/>
          <w:lang w:val="en-US" w:eastAsia="zh-CN"/>
        </w:rPr>
      </w:pPr>
      <w:r>
        <w:rPr>
          <w:rFonts w:hint="eastAsia" w:ascii="仿宋_GB2312" w:hAnsi="仿宋" w:eastAsia="仿宋_GB2312" w:cs="仿宋"/>
          <w:sz w:val="32"/>
          <w:szCs w:val="32"/>
          <w:lang w:val="en-US" w:eastAsia="zh-CN"/>
        </w:rPr>
        <w:t>食品经营者应保证运输和装卸食品的容器、工具和设备清洁、无害，保证食品的经营环境和储存环境等符合与食品所需的环境，并及时清理变质、超过保质期及其他不符合标准要求的食品；针对特殊贮存要求的食品，食品经营者在运输、贮藏时应当符合食品安全所需要的温度、空间隔离等特殊要求，防止交叉污染。</w:t>
      </w:r>
    </w:p>
    <w:p>
      <w:pPr>
        <w:keepNext w:val="0"/>
        <w:keepLines w:val="0"/>
        <w:pageBreakBefore w:val="0"/>
        <w:widowControl/>
        <w:kinsoku/>
        <w:wordWrap/>
        <w:overflowPunct/>
        <w:topLinePunct w:val="0"/>
        <w:autoSpaceDE/>
        <w:autoSpaceDN/>
        <w:bidi w:val="0"/>
        <w:adjustRightInd/>
        <w:snapToGrid/>
        <w:spacing w:line="579" w:lineRule="exact"/>
        <w:ind w:firstLine="643" w:firstLineChars="0"/>
        <w:jc w:val="left"/>
        <w:textAlignment w:val="auto"/>
        <w:rPr>
          <w:rFonts w:hint="eastAsia" w:ascii="楷体_GB2312" w:hAnsi="楷体_GB2312" w:eastAsia="楷体_GB2312" w:cs="楷体_GB2312"/>
          <w:b/>
          <w:color w:val="auto"/>
          <w:kern w:val="2"/>
          <w:sz w:val="32"/>
          <w:szCs w:val="32"/>
          <w:lang w:val="en-US" w:eastAsia="zh-CN"/>
        </w:rPr>
      </w:pPr>
      <w:r>
        <w:rPr>
          <w:rFonts w:hint="eastAsia" w:ascii="楷体_GB2312" w:hAnsi="楷体_GB2312" w:eastAsia="楷体_GB2312" w:cs="楷体_GB2312"/>
          <w:b/>
          <w:color w:val="auto"/>
          <w:kern w:val="2"/>
          <w:sz w:val="32"/>
          <w:szCs w:val="32"/>
          <w:lang w:val="en-US" w:eastAsia="zh-CN"/>
        </w:rPr>
        <w:t>（三）规范加工操作</w:t>
      </w:r>
    </w:p>
    <w:p>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eastAsia" w:hAnsi="仿宋" w:cs="仿宋"/>
          <w:sz w:val="32"/>
          <w:szCs w:val="32"/>
          <w:lang w:val="en-US" w:eastAsia="zh-CN"/>
        </w:rPr>
      </w:pPr>
      <w:r>
        <w:rPr>
          <w:rFonts w:hint="eastAsia" w:hAnsi="仿宋" w:cs="仿宋"/>
          <w:sz w:val="32"/>
          <w:szCs w:val="32"/>
          <w:lang w:val="en-US" w:eastAsia="zh-CN"/>
        </w:rPr>
        <w:t>餐饮服务企业应</w:t>
      </w:r>
      <w:r>
        <w:rPr>
          <w:rFonts w:hint="eastAsia" w:ascii="仿宋_GB2312" w:hAnsi="仿宋" w:eastAsia="仿宋_GB2312" w:cs="仿宋"/>
          <w:sz w:val="32"/>
          <w:szCs w:val="32"/>
          <w:lang w:val="en-US" w:eastAsia="zh-CN"/>
        </w:rPr>
        <w:t>严格执行《餐饮服务食品安全操作规范》，落实场所及设施设备清洗消毒、原料采购至供餐全过程控制管理、餐饮具清洗消毒、食品添加剂使用管理、留样及从业人员健康管理和培训等制度</w:t>
      </w:r>
      <w:r>
        <w:rPr>
          <w:rFonts w:hint="eastAsia" w:hAnsi="仿宋" w:cs="仿宋"/>
          <w:sz w:val="32"/>
          <w:szCs w:val="32"/>
          <w:lang w:val="en-US" w:eastAsia="zh-CN"/>
        </w:rPr>
        <w:t>。</w:t>
      </w:r>
    </w:p>
    <w:p>
      <w:pPr>
        <w:keepNext w:val="0"/>
        <w:keepLines w:val="0"/>
        <w:pageBreakBefore w:val="0"/>
        <w:widowControl/>
        <w:kinsoku/>
        <w:wordWrap/>
        <w:overflowPunct/>
        <w:topLinePunct w:val="0"/>
        <w:autoSpaceDE/>
        <w:autoSpaceDN/>
        <w:bidi w:val="0"/>
        <w:adjustRightInd/>
        <w:snapToGrid/>
        <w:spacing w:line="579" w:lineRule="exact"/>
        <w:ind w:firstLine="643" w:firstLineChars="0"/>
        <w:jc w:val="left"/>
        <w:textAlignment w:val="auto"/>
        <w:rPr>
          <w:rFonts w:hint="eastAsia" w:ascii="楷体_GB2312" w:hAnsi="楷体_GB2312" w:eastAsia="楷体_GB2312" w:cs="楷体_GB2312"/>
          <w:b/>
          <w:color w:val="auto"/>
          <w:kern w:val="2"/>
          <w:sz w:val="32"/>
          <w:szCs w:val="32"/>
          <w:lang w:val="zh-CN" w:eastAsia="zh-CN"/>
        </w:rPr>
      </w:pPr>
      <w:r>
        <w:rPr>
          <w:rFonts w:hint="eastAsia" w:ascii="楷体_GB2312" w:hAnsi="楷体_GB2312" w:eastAsia="楷体_GB2312" w:cs="楷体_GB2312"/>
          <w:b/>
          <w:color w:val="auto"/>
          <w:kern w:val="2"/>
          <w:sz w:val="32"/>
          <w:szCs w:val="32"/>
          <w:lang w:val="zh-CN" w:eastAsia="zh-CN"/>
        </w:rPr>
        <w:t>（</w:t>
      </w:r>
      <w:r>
        <w:rPr>
          <w:rFonts w:hint="eastAsia" w:ascii="楷体_GB2312" w:hAnsi="楷体_GB2312" w:eastAsia="楷体_GB2312" w:cs="楷体_GB2312"/>
          <w:b/>
          <w:color w:val="auto"/>
          <w:kern w:val="2"/>
          <w:sz w:val="32"/>
          <w:szCs w:val="32"/>
          <w:lang w:val="en-US" w:eastAsia="zh-CN"/>
        </w:rPr>
        <w:t>四</w:t>
      </w:r>
      <w:r>
        <w:rPr>
          <w:rFonts w:hint="eastAsia" w:ascii="楷体_GB2312" w:hAnsi="楷体_GB2312" w:eastAsia="楷体_GB2312" w:cs="楷体_GB2312"/>
          <w:b/>
          <w:color w:val="auto"/>
          <w:kern w:val="2"/>
          <w:sz w:val="32"/>
          <w:szCs w:val="32"/>
          <w:lang w:val="zh-CN" w:eastAsia="zh-CN"/>
        </w:rPr>
        <w:t>）加强食品出厂检验</w:t>
      </w:r>
    </w:p>
    <w:p>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eastAsia" w:ascii="仿宋_GB2312" w:hAnsi="仿宋" w:eastAsia="仿宋_GB2312" w:cs="仿宋"/>
          <w:sz w:val="32"/>
          <w:szCs w:val="32"/>
          <w:lang w:val="en-US" w:eastAsia="zh-CN"/>
        </w:rPr>
      </w:pPr>
      <w:r>
        <w:rPr>
          <w:rFonts w:hint="eastAsia" w:ascii="仿宋_GB2312" w:hAnsi="仿宋" w:eastAsia="仿宋_GB2312" w:cs="仿宋"/>
          <w:sz w:val="32"/>
          <w:szCs w:val="32"/>
          <w:lang w:val="en-US" w:eastAsia="zh-CN"/>
        </w:rPr>
        <w:t>食品生产企业要强化重视出厂检验的意识，制定切合自身且不断完善的出厂检验制度；建立完善的检测条件对产品进行日常监管，制定出厂检验计划并严格执行，确保生产合格的产品；加强对生产成品的检测频率，进行自检或送往具有相关资质的检测机构进行检测；建立健全产品的召回机制，以应对突发产品质量问题。</w:t>
      </w:r>
    </w:p>
    <w:p>
      <w:pPr>
        <w:keepNext w:val="0"/>
        <w:keepLines w:val="0"/>
        <w:pageBreakBefore w:val="0"/>
        <w:widowControl/>
        <w:kinsoku/>
        <w:wordWrap/>
        <w:overflowPunct/>
        <w:topLinePunct w:val="0"/>
        <w:autoSpaceDE/>
        <w:autoSpaceDN/>
        <w:bidi w:val="0"/>
        <w:adjustRightInd/>
        <w:snapToGrid/>
        <w:spacing w:line="579" w:lineRule="exact"/>
        <w:ind w:firstLine="643" w:firstLineChars="0"/>
        <w:jc w:val="left"/>
        <w:textAlignment w:val="auto"/>
        <w:rPr>
          <w:rFonts w:hint="eastAsia" w:ascii="楷体_GB2312" w:hAnsi="楷体_GB2312" w:eastAsia="楷体_GB2312" w:cs="楷体_GB2312"/>
          <w:b/>
          <w:color w:val="auto"/>
          <w:kern w:val="2"/>
          <w:sz w:val="32"/>
          <w:szCs w:val="32"/>
          <w:lang w:val="zh-CN" w:eastAsia="zh-CN"/>
        </w:rPr>
      </w:pPr>
      <w:r>
        <w:rPr>
          <w:rFonts w:hint="eastAsia" w:ascii="楷体_GB2312" w:hAnsi="楷体_GB2312" w:eastAsia="楷体_GB2312" w:cs="楷体_GB2312"/>
          <w:b/>
          <w:color w:val="auto"/>
          <w:kern w:val="2"/>
          <w:sz w:val="32"/>
          <w:szCs w:val="32"/>
          <w:lang w:val="zh-CN" w:eastAsia="zh-CN"/>
        </w:rPr>
        <w:t>（</w:t>
      </w:r>
      <w:r>
        <w:rPr>
          <w:rFonts w:hint="eastAsia" w:ascii="楷体_GB2312" w:hAnsi="楷体_GB2312" w:eastAsia="楷体_GB2312" w:cs="楷体_GB2312"/>
          <w:b/>
          <w:color w:val="auto"/>
          <w:kern w:val="2"/>
          <w:sz w:val="32"/>
          <w:szCs w:val="32"/>
          <w:lang w:val="en-US" w:eastAsia="zh-CN"/>
        </w:rPr>
        <w:t>五</w:t>
      </w:r>
      <w:r>
        <w:rPr>
          <w:rFonts w:hint="eastAsia" w:ascii="楷体_GB2312" w:hAnsi="楷体_GB2312" w:eastAsia="楷体_GB2312" w:cs="楷体_GB2312"/>
          <w:b/>
          <w:color w:val="auto"/>
          <w:kern w:val="2"/>
          <w:sz w:val="32"/>
          <w:szCs w:val="32"/>
          <w:lang w:val="zh-CN" w:eastAsia="zh-CN"/>
        </w:rPr>
        <w:t>）提高食品添加剂安全使用意识</w:t>
      </w:r>
    </w:p>
    <w:p>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eastAsia" w:ascii="仿宋_GB2312" w:hAnsi="仿宋" w:eastAsia="仿宋_GB2312" w:cs="仿宋"/>
          <w:sz w:val="32"/>
          <w:szCs w:val="32"/>
          <w:lang w:val="en-US" w:eastAsia="zh-CN"/>
        </w:rPr>
      </w:pPr>
      <w:r>
        <w:rPr>
          <w:rFonts w:hint="eastAsia" w:ascii="仿宋_GB2312" w:hAnsi="仿宋" w:eastAsia="仿宋_GB2312" w:cs="仿宋"/>
          <w:sz w:val="32"/>
          <w:szCs w:val="32"/>
          <w:lang w:val="en-US" w:eastAsia="zh-CN"/>
        </w:rPr>
        <w:t>部分食品生产经营者为了追求经济效益，对食品添加剂过于依赖，但对食品添加剂使用要求却执行不到位。因此，食品生产</w:t>
      </w:r>
      <w:r>
        <w:rPr>
          <w:rFonts w:hint="eastAsia" w:ascii="仿宋_GB2312" w:hAnsi="仿宋" w:cs="仿宋"/>
          <w:sz w:val="32"/>
          <w:szCs w:val="32"/>
          <w:lang w:val="en-US" w:eastAsia="zh-CN"/>
        </w:rPr>
        <w:t>经营者应加强学习</w:t>
      </w:r>
      <w:r>
        <w:rPr>
          <w:rFonts w:hint="eastAsia" w:ascii="仿宋_GB2312" w:hAnsi="仿宋" w:eastAsia="仿宋_GB2312" w:cs="仿宋"/>
          <w:sz w:val="32"/>
          <w:szCs w:val="32"/>
          <w:lang w:val="en-US" w:eastAsia="zh-CN"/>
        </w:rPr>
        <w:t>食品添加剂的相关法律法规和标准知识，</w:t>
      </w:r>
      <w:r>
        <w:rPr>
          <w:rFonts w:hint="eastAsia" w:ascii="仿宋_GB2312" w:hAnsi="仿宋" w:cs="仿宋"/>
          <w:sz w:val="32"/>
          <w:szCs w:val="32"/>
          <w:lang w:val="en-US" w:eastAsia="zh-CN"/>
        </w:rPr>
        <w:t>了解</w:t>
      </w:r>
      <w:r>
        <w:rPr>
          <w:rFonts w:hint="eastAsia" w:ascii="仿宋_GB2312" w:hAnsi="仿宋" w:eastAsia="仿宋_GB2312" w:cs="仿宋"/>
          <w:sz w:val="32"/>
          <w:szCs w:val="32"/>
          <w:lang w:val="en-US" w:eastAsia="zh-CN"/>
        </w:rPr>
        <w:t>违法添加和滥用食品添加剂行为的危害性</w:t>
      </w:r>
      <w:r>
        <w:rPr>
          <w:rFonts w:hint="eastAsia" w:ascii="仿宋_GB2312" w:hAnsi="仿宋" w:cs="仿宋"/>
          <w:sz w:val="32"/>
          <w:szCs w:val="32"/>
          <w:lang w:val="en-US" w:eastAsia="zh-CN"/>
        </w:rPr>
        <w:t>，从源头把控食品质量安全</w:t>
      </w:r>
      <w:r>
        <w:rPr>
          <w:rFonts w:hint="eastAsia" w:ascii="仿宋_GB2312" w:hAnsi="仿宋" w:eastAsia="仿宋_GB2312" w:cs="仿宋"/>
          <w:sz w:val="32"/>
          <w:szCs w:val="32"/>
          <w:lang w:val="en-US" w:eastAsia="zh-CN"/>
        </w:rPr>
        <w:t>。</w:t>
      </w:r>
    </w:p>
    <w:p>
      <w:pPr>
        <w:keepNext w:val="0"/>
        <w:keepLines w:val="0"/>
        <w:pageBreakBefore w:val="0"/>
        <w:widowControl/>
        <w:kinsoku/>
        <w:wordWrap/>
        <w:overflowPunct/>
        <w:topLinePunct w:val="0"/>
        <w:autoSpaceDE/>
        <w:autoSpaceDN/>
        <w:bidi w:val="0"/>
        <w:adjustRightInd/>
        <w:snapToGrid/>
        <w:spacing w:line="579" w:lineRule="exact"/>
        <w:ind w:firstLine="643" w:firstLineChars="0"/>
        <w:jc w:val="left"/>
        <w:textAlignment w:val="auto"/>
        <w:rPr>
          <w:rFonts w:hint="default" w:ascii="楷体_GB2312" w:hAnsi="楷体_GB2312" w:eastAsia="楷体_GB2312" w:cs="楷体_GB2312"/>
          <w:b/>
          <w:color w:val="auto"/>
          <w:kern w:val="2"/>
          <w:sz w:val="32"/>
          <w:szCs w:val="32"/>
          <w:lang w:val="en-US" w:eastAsia="zh-CN"/>
        </w:rPr>
      </w:pPr>
      <w:r>
        <w:rPr>
          <w:rFonts w:hint="eastAsia" w:ascii="楷体_GB2312" w:hAnsi="楷体_GB2312" w:eastAsia="楷体_GB2312" w:cs="楷体_GB2312"/>
          <w:b/>
          <w:color w:val="auto"/>
          <w:kern w:val="2"/>
          <w:sz w:val="32"/>
          <w:szCs w:val="32"/>
          <w:lang w:val="zh-CN" w:eastAsia="zh-CN"/>
        </w:rPr>
        <w:t>（</w:t>
      </w:r>
      <w:r>
        <w:rPr>
          <w:rFonts w:hint="eastAsia" w:ascii="楷体_GB2312" w:hAnsi="楷体_GB2312" w:eastAsia="楷体_GB2312" w:cs="楷体_GB2312"/>
          <w:b/>
          <w:color w:val="auto"/>
          <w:kern w:val="2"/>
          <w:sz w:val="32"/>
          <w:szCs w:val="32"/>
          <w:lang w:val="en-US" w:eastAsia="zh-CN"/>
        </w:rPr>
        <w:t>六</w:t>
      </w:r>
      <w:r>
        <w:rPr>
          <w:rFonts w:hint="eastAsia" w:ascii="楷体_GB2312" w:hAnsi="楷体_GB2312" w:eastAsia="楷体_GB2312" w:cs="楷体_GB2312"/>
          <w:b/>
          <w:color w:val="auto"/>
          <w:kern w:val="2"/>
          <w:sz w:val="32"/>
          <w:szCs w:val="32"/>
          <w:lang w:val="zh-CN" w:eastAsia="zh-CN"/>
        </w:rPr>
        <w:t>）</w:t>
      </w:r>
      <w:r>
        <w:rPr>
          <w:rFonts w:hint="eastAsia" w:ascii="楷体_GB2312" w:hAnsi="楷体_GB2312" w:eastAsia="楷体_GB2312" w:cs="楷体_GB2312"/>
          <w:b/>
          <w:color w:val="auto"/>
          <w:kern w:val="2"/>
          <w:sz w:val="32"/>
          <w:szCs w:val="32"/>
          <w:lang w:val="en-US" w:eastAsia="zh-CN"/>
        </w:rPr>
        <w:t>建立索票验证制度</w:t>
      </w:r>
    </w:p>
    <w:p>
      <w:pPr>
        <w:pStyle w:val="8"/>
        <w:keepNext w:val="0"/>
        <w:keepLines w:val="0"/>
        <w:pageBreakBefore w:val="0"/>
        <w:kinsoku/>
        <w:wordWrap/>
        <w:overflowPunct/>
        <w:topLinePunct w:val="0"/>
        <w:autoSpaceDE/>
        <w:autoSpaceDN/>
        <w:bidi w:val="0"/>
        <w:adjustRightInd/>
        <w:snapToGrid/>
        <w:spacing w:line="579" w:lineRule="exact"/>
        <w:textAlignment w:val="auto"/>
        <w:rPr>
          <w:rFonts w:hint="eastAsia"/>
          <w:lang w:val="en-US" w:eastAsia="zh-CN"/>
        </w:rPr>
      </w:pPr>
      <w:r>
        <w:rPr>
          <w:rFonts w:hint="eastAsia"/>
          <w:lang w:val="en-US" w:eastAsia="zh-CN"/>
        </w:rPr>
        <w:t>食品经营企业</w:t>
      </w:r>
      <w:r>
        <w:rPr>
          <w:rFonts w:hint="eastAsia" w:ascii="仿宋_GB2312" w:hAnsi="仿宋" w:eastAsia="仿宋_GB2312" w:cs="仿宋"/>
          <w:bCs/>
          <w:kern w:val="0"/>
          <w:sz w:val="32"/>
          <w:szCs w:val="32"/>
          <w:lang w:val="zh-CN" w:eastAsia="zh-CN" w:bidi="ar-SA"/>
        </w:rPr>
        <w:t>在</w:t>
      </w:r>
      <w:r>
        <w:rPr>
          <w:rFonts w:hint="eastAsia" w:ascii="仿宋_GB2312" w:hAnsi="仿宋_GB2312" w:eastAsia="仿宋_GB2312" w:cs="仿宋_GB2312"/>
          <w:sz w:val="32"/>
          <w:lang w:val="zh-CN" w:eastAsia="zh-CN"/>
        </w:rPr>
        <w:t>采购</w:t>
      </w:r>
      <w:r>
        <w:rPr>
          <w:rFonts w:hint="eastAsia" w:ascii="仿宋_GB2312" w:hAnsi="仿宋" w:eastAsia="仿宋_GB2312" w:cs="仿宋"/>
          <w:bCs/>
          <w:kern w:val="0"/>
          <w:sz w:val="32"/>
          <w:szCs w:val="32"/>
          <w:lang w:val="zh-CN" w:eastAsia="zh-CN" w:bidi="ar-SA"/>
        </w:rPr>
        <w:t>食品</w:t>
      </w:r>
      <w:r>
        <w:rPr>
          <w:rFonts w:hint="eastAsia" w:hAnsi="仿宋" w:cs="仿宋"/>
          <w:bCs/>
          <w:kern w:val="0"/>
          <w:sz w:val="32"/>
          <w:szCs w:val="32"/>
          <w:lang w:val="en-US" w:eastAsia="zh-CN" w:bidi="ar-SA"/>
        </w:rPr>
        <w:t>及</w:t>
      </w:r>
      <w:r>
        <w:rPr>
          <w:rFonts w:hint="eastAsia" w:ascii="仿宋_GB2312" w:hAnsi="仿宋" w:eastAsia="仿宋_GB2312" w:cs="仿宋"/>
          <w:bCs/>
          <w:kern w:val="0"/>
          <w:sz w:val="32"/>
          <w:szCs w:val="32"/>
          <w:lang w:val="zh-CN" w:eastAsia="zh-CN" w:bidi="ar-SA"/>
        </w:rPr>
        <w:t>相关产品时</w:t>
      </w:r>
      <w:r>
        <w:rPr>
          <w:rFonts w:hint="eastAsia" w:hAnsi="仿宋" w:cs="仿宋"/>
          <w:bCs/>
          <w:kern w:val="0"/>
          <w:sz w:val="32"/>
          <w:szCs w:val="32"/>
          <w:lang w:val="en-US" w:eastAsia="zh-CN" w:bidi="ar-SA"/>
        </w:rPr>
        <w:t>应</w:t>
      </w:r>
      <w:r>
        <w:rPr>
          <w:rFonts w:hint="eastAsia" w:ascii="仿宋_GB2312" w:hAnsi="仿宋" w:eastAsia="仿宋_GB2312" w:cs="仿宋"/>
          <w:bCs/>
          <w:kern w:val="0"/>
          <w:sz w:val="32"/>
          <w:szCs w:val="32"/>
          <w:lang w:val="zh-CN" w:eastAsia="zh-CN" w:bidi="ar-SA"/>
        </w:rPr>
        <w:t>严把质量关，</w:t>
      </w:r>
      <w:r>
        <w:rPr>
          <w:rFonts w:hint="eastAsia"/>
          <w:lang w:val="en-US" w:eastAsia="zh-CN"/>
        </w:rPr>
        <w:t>建立进货查验、索证索票和进货台账制度，查验供货者的许可证和包含必要检验项目的食品合格证明文件。</w:t>
      </w:r>
    </w:p>
    <w:sectPr>
      <w:headerReference r:id="rId7" w:type="first"/>
      <w:footerReference r:id="rId10" w:type="first"/>
      <w:headerReference r:id="rId5" w:type="default"/>
      <w:footerReference r:id="rId8" w:type="default"/>
      <w:headerReference r:id="rId6" w:type="even"/>
      <w:footerReference r:id="rId9" w:type="even"/>
      <w:pgSz w:w="11906" w:h="16838"/>
      <w:pgMar w:top="2098" w:right="1474" w:bottom="1984" w:left="1587"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640"/>
      </w:pPr>
      <w:r>
        <w:separator/>
      </w:r>
    </w:p>
  </w:endnote>
  <w:endnote w:type="continuationSeparator" w:id="1">
    <w:p>
      <w:pPr>
        <w:spacing w:line="240" w:lineRule="auto"/>
        <w:ind w:firstLine="64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01"/>
    <w:family w:val="auto"/>
    <w:pitch w:val="default"/>
    <w:sig w:usb0="00000000" w:usb1="00000000" w:usb2="00000009" w:usb3="00000000" w:csb0="400001FF" w:csb1="FFFF0000"/>
  </w:font>
  <w:font w:name="宋体">
    <w:altName w:val="方正书宋_GBK"/>
    <w:panose1 w:val="00000000000000000000"/>
    <w:charset w:val="86"/>
    <w:family w:val="auto"/>
    <w:pitch w:val="default"/>
    <w:sig w:usb0="00000000" w:usb1="00000000" w:usb2="00000000" w:usb3="00000000" w:csb0="00000000" w:csb1="00000000"/>
  </w:font>
  <w:font w:name="Wingdings">
    <w:altName w:val="MathJax_Vector"/>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athJax_Vector"/>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仿宋_GB2312">
    <w:altName w:val="方正仿宋_GBK"/>
    <w:panose1 w:val="02010609030101010101"/>
    <w:charset w:val="86"/>
    <w:family w:val="auto"/>
    <w:pitch w:val="default"/>
    <w:sig w:usb0="00000000" w:usb1="00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楷体_GB2312">
    <w:altName w:val="方正楷体_GBK"/>
    <w:panose1 w:val="02010609030101010101"/>
    <w:charset w:val="86"/>
    <w:family w:val="auto"/>
    <w:pitch w:val="default"/>
    <w:sig w:usb0="00000000" w:usb1="00000000" w:usb2="00000000" w:usb3="00000000" w:csb0="00040000" w:csb1="00000000"/>
  </w:font>
  <w:font w:name="方正楷体_GBK">
    <w:panose1 w:val="02000000000000000000"/>
    <w:charset w:val="86"/>
    <w:family w:val="auto"/>
    <w:pitch w:val="default"/>
    <w:sig w:usb0="00000001" w:usb1="08000000" w:usb2="00000000" w:usb3="00000000" w:csb0="00040000" w:csb1="00000000"/>
  </w:font>
  <w:font w:name="Calibri Light">
    <w:altName w:val="DejaVu Sans"/>
    <w:panose1 w:val="020F0302020204030204"/>
    <w:charset w:val="00"/>
    <w:family w:val="swiss"/>
    <w:pitch w:val="default"/>
    <w:sig w:usb0="00000000" w:usb1="00000000" w:usb2="00000009" w:usb3="00000000" w:csb0="200001FF" w:csb1="00000000"/>
  </w:font>
  <w:font w:name="方正黑体_GBK">
    <w:panose1 w:val="02000000000000000000"/>
    <w:charset w:val="86"/>
    <w:family w:val="auto"/>
    <w:pitch w:val="default"/>
    <w:sig w:usb0="00000001" w:usb1="08000000" w:usb2="00000000" w:usb3="00000000" w:csb0="00040000" w:csb1="00000000"/>
  </w:font>
  <w:font w:name="微软雅黑">
    <w:altName w:val="方正黑体_GBK"/>
    <w:panose1 w:val="020B0503020204020204"/>
    <w:charset w:val="86"/>
    <w:family w:val="auto"/>
    <w:pitch w:val="default"/>
    <w:sig w:usb0="00000000" w:usb1="00000000" w:usb2="00000016" w:usb3="00000000" w:csb0="0004001F" w:csb1="00000000"/>
  </w:font>
  <w:font w:name="华文中宋">
    <w:altName w:val="汉仪中宋简"/>
    <w:panose1 w:val="02010600040101010101"/>
    <w:charset w:val="86"/>
    <w:family w:val="auto"/>
    <w:pitch w:val="default"/>
    <w:sig w:usb0="00000000" w:usb1="00000000" w:usb2="00000000" w:usb3="00000000" w:csb0="0004009F" w:csb1="DFD70000"/>
  </w:font>
  <w:font w:name="汉仪中宋简">
    <w:panose1 w:val="02010600000101010101"/>
    <w:charset w:val="86"/>
    <w:family w:val="auto"/>
    <w:pitch w:val="default"/>
    <w:sig w:usb0="00000001" w:usb1="080E0800" w:usb2="00000002" w:usb3="00000000" w:csb0="00040000" w:csb1="00000000"/>
  </w:font>
  <w:font w:name="仿宋">
    <w:altName w:val="方正仿宋_GBK"/>
    <w:panose1 w:val="02010609060101010101"/>
    <w:charset w:val="86"/>
    <w:family w:val="modern"/>
    <w:pitch w:val="default"/>
    <w:sig w:usb0="00000000" w:usb1="00000000" w:usb2="00000016" w:usb3="00000000" w:csb0="00040001" w:csb1="00000000"/>
  </w:font>
  <w:font w:name="MathJax_Vector">
    <w:panose1 w:val="02000603000000000000"/>
    <w:charset w:val="00"/>
    <w:family w:val="auto"/>
    <w:pitch w:val="default"/>
    <w:sig w:usb0="00000001" w:usb1="0000002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ind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ind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640"/>
      </w:pPr>
      <w:r>
        <w:separator/>
      </w:r>
    </w:p>
  </w:footnote>
  <w:footnote w:type="continuationSeparator" w:id="1">
    <w:p>
      <w:pPr>
        <w:spacing w:line="240" w:lineRule="auto"/>
        <w:ind w:firstLine="64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Bdr>
        <w:bottom w:val="none" w:color="auto" w:sz="0" w:space="1"/>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ind w:firstLine="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view w:val="normal"/>
  <w:zoom w:percent="12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zFkNWY3MDE3M2RiODhiZTRhOWM0N2VmNTEzZWI5MGUifQ=="/>
    <w:docVar w:name="KSO_WPS_MARK_KEY" w:val="9abfa379-1463-49b8-ba1e-96d73e95811c"/>
  </w:docVars>
  <w:rsids>
    <w:rsidRoot w:val="010D4506"/>
    <w:rsid w:val="000139C9"/>
    <w:rsid w:val="001A54F4"/>
    <w:rsid w:val="00210D6B"/>
    <w:rsid w:val="00501EE6"/>
    <w:rsid w:val="005363F0"/>
    <w:rsid w:val="006B1DCC"/>
    <w:rsid w:val="00724BD2"/>
    <w:rsid w:val="00853747"/>
    <w:rsid w:val="008D6C99"/>
    <w:rsid w:val="00B977A2"/>
    <w:rsid w:val="00BE4BAD"/>
    <w:rsid w:val="00BF706B"/>
    <w:rsid w:val="00CB51BD"/>
    <w:rsid w:val="00CD6745"/>
    <w:rsid w:val="00EF1828"/>
    <w:rsid w:val="00F74A57"/>
    <w:rsid w:val="00F907CF"/>
    <w:rsid w:val="010D4506"/>
    <w:rsid w:val="01147286"/>
    <w:rsid w:val="012B64AF"/>
    <w:rsid w:val="01565C22"/>
    <w:rsid w:val="0165091A"/>
    <w:rsid w:val="017D0269"/>
    <w:rsid w:val="017D26A4"/>
    <w:rsid w:val="01880CE2"/>
    <w:rsid w:val="01B14C06"/>
    <w:rsid w:val="01D53863"/>
    <w:rsid w:val="01D55CA5"/>
    <w:rsid w:val="01DA199E"/>
    <w:rsid w:val="01DD3C4D"/>
    <w:rsid w:val="0250093A"/>
    <w:rsid w:val="02E13ED6"/>
    <w:rsid w:val="030904ED"/>
    <w:rsid w:val="03095C9B"/>
    <w:rsid w:val="032F1BFF"/>
    <w:rsid w:val="03365C46"/>
    <w:rsid w:val="034743C9"/>
    <w:rsid w:val="034F1986"/>
    <w:rsid w:val="0372363C"/>
    <w:rsid w:val="03C230FA"/>
    <w:rsid w:val="03DD5D77"/>
    <w:rsid w:val="03E020C5"/>
    <w:rsid w:val="03E72982"/>
    <w:rsid w:val="03FB660C"/>
    <w:rsid w:val="03FD00B3"/>
    <w:rsid w:val="04456357"/>
    <w:rsid w:val="0453793B"/>
    <w:rsid w:val="046213D9"/>
    <w:rsid w:val="047A39D5"/>
    <w:rsid w:val="04977BD5"/>
    <w:rsid w:val="04A10F62"/>
    <w:rsid w:val="04AF4E5A"/>
    <w:rsid w:val="055921C9"/>
    <w:rsid w:val="055A195A"/>
    <w:rsid w:val="05882122"/>
    <w:rsid w:val="0597115B"/>
    <w:rsid w:val="06015F4A"/>
    <w:rsid w:val="061F6FA5"/>
    <w:rsid w:val="06261016"/>
    <w:rsid w:val="06585F98"/>
    <w:rsid w:val="066C5CEA"/>
    <w:rsid w:val="06894B40"/>
    <w:rsid w:val="06C602DA"/>
    <w:rsid w:val="06F0528D"/>
    <w:rsid w:val="06F3181D"/>
    <w:rsid w:val="07486F42"/>
    <w:rsid w:val="07960155"/>
    <w:rsid w:val="07C82C95"/>
    <w:rsid w:val="07E04EFC"/>
    <w:rsid w:val="07EC6998"/>
    <w:rsid w:val="081209FA"/>
    <w:rsid w:val="0813553A"/>
    <w:rsid w:val="081B38E6"/>
    <w:rsid w:val="088C017B"/>
    <w:rsid w:val="08AA1A2A"/>
    <w:rsid w:val="08AD06EB"/>
    <w:rsid w:val="08DD49AF"/>
    <w:rsid w:val="08F00F9F"/>
    <w:rsid w:val="091C5D20"/>
    <w:rsid w:val="094F5C0A"/>
    <w:rsid w:val="09526C01"/>
    <w:rsid w:val="097430E9"/>
    <w:rsid w:val="0976295B"/>
    <w:rsid w:val="098E5CC9"/>
    <w:rsid w:val="09921D81"/>
    <w:rsid w:val="099F35F4"/>
    <w:rsid w:val="09A339CE"/>
    <w:rsid w:val="09A60DC8"/>
    <w:rsid w:val="09B11946"/>
    <w:rsid w:val="09DA4F37"/>
    <w:rsid w:val="09FB4D92"/>
    <w:rsid w:val="0A101FAB"/>
    <w:rsid w:val="0A416AB6"/>
    <w:rsid w:val="0A517CAA"/>
    <w:rsid w:val="0A545255"/>
    <w:rsid w:val="0A583951"/>
    <w:rsid w:val="0A5C592B"/>
    <w:rsid w:val="0A9D3C22"/>
    <w:rsid w:val="0AC55F1B"/>
    <w:rsid w:val="0AEA5DCE"/>
    <w:rsid w:val="0AFF1257"/>
    <w:rsid w:val="0B267D76"/>
    <w:rsid w:val="0B5F7337"/>
    <w:rsid w:val="0B66492E"/>
    <w:rsid w:val="0B6F4B3F"/>
    <w:rsid w:val="0B8D51F1"/>
    <w:rsid w:val="0B995089"/>
    <w:rsid w:val="0B9C34ED"/>
    <w:rsid w:val="0BFC76E3"/>
    <w:rsid w:val="0C082E47"/>
    <w:rsid w:val="0C083FBC"/>
    <w:rsid w:val="0C0C4E1D"/>
    <w:rsid w:val="0C1A4101"/>
    <w:rsid w:val="0C455D22"/>
    <w:rsid w:val="0C6F4539"/>
    <w:rsid w:val="0C760736"/>
    <w:rsid w:val="0CBF7726"/>
    <w:rsid w:val="0CD4225F"/>
    <w:rsid w:val="0D1C5633"/>
    <w:rsid w:val="0D6C4E32"/>
    <w:rsid w:val="0D7E5469"/>
    <w:rsid w:val="0DA07C14"/>
    <w:rsid w:val="0DF26CD2"/>
    <w:rsid w:val="0DFE11D3"/>
    <w:rsid w:val="0E25775A"/>
    <w:rsid w:val="0E291C53"/>
    <w:rsid w:val="0E2E4AB8"/>
    <w:rsid w:val="0E431583"/>
    <w:rsid w:val="0E7310BF"/>
    <w:rsid w:val="0EA926E5"/>
    <w:rsid w:val="0EA93008"/>
    <w:rsid w:val="0EC839C2"/>
    <w:rsid w:val="0ED6614C"/>
    <w:rsid w:val="0F261454"/>
    <w:rsid w:val="0F283DE4"/>
    <w:rsid w:val="0F2904D1"/>
    <w:rsid w:val="0F3B0205"/>
    <w:rsid w:val="0F567840"/>
    <w:rsid w:val="0F7A3089"/>
    <w:rsid w:val="0FAA22AF"/>
    <w:rsid w:val="0FCE13D5"/>
    <w:rsid w:val="0FD7772F"/>
    <w:rsid w:val="0FDD0E6A"/>
    <w:rsid w:val="0FE51EE1"/>
    <w:rsid w:val="1011213A"/>
    <w:rsid w:val="10507CE0"/>
    <w:rsid w:val="108B31AA"/>
    <w:rsid w:val="10AD16A7"/>
    <w:rsid w:val="10BA4D47"/>
    <w:rsid w:val="10C33540"/>
    <w:rsid w:val="10FB22A5"/>
    <w:rsid w:val="110034B4"/>
    <w:rsid w:val="1162065F"/>
    <w:rsid w:val="118714DF"/>
    <w:rsid w:val="119360D6"/>
    <w:rsid w:val="11B32DA0"/>
    <w:rsid w:val="11BA183E"/>
    <w:rsid w:val="11CE6913"/>
    <w:rsid w:val="11E172CB"/>
    <w:rsid w:val="11F21CEC"/>
    <w:rsid w:val="120C2549"/>
    <w:rsid w:val="1210526E"/>
    <w:rsid w:val="122B27B2"/>
    <w:rsid w:val="1252488C"/>
    <w:rsid w:val="128778EF"/>
    <w:rsid w:val="12AF7645"/>
    <w:rsid w:val="12B51B83"/>
    <w:rsid w:val="12D976B3"/>
    <w:rsid w:val="132536A6"/>
    <w:rsid w:val="13272F7A"/>
    <w:rsid w:val="132F1E2E"/>
    <w:rsid w:val="134639A2"/>
    <w:rsid w:val="136C1F21"/>
    <w:rsid w:val="137821D3"/>
    <w:rsid w:val="137A7568"/>
    <w:rsid w:val="13803E88"/>
    <w:rsid w:val="13914897"/>
    <w:rsid w:val="139A1CB2"/>
    <w:rsid w:val="13E774D5"/>
    <w:rsid w:val="13EC0B78"/>
    <w:rsid w:val="140432BB"/>
    <w:rsid w:val="141B2394"/>
    <w:rsid w:val="14292A97"/>
    <w:rsid w:val="145F6743"/>
    <w:rsid w:val="1499532A"/>
    <w:rsid w:val="14B77689"/>
    <w:rsid w:val="14BA53E4"/>
    <w:rsid w:val="1512088F"/>
    <w:rsid w:val="15170DCC"/>
    <w:rsid w:val="152D6E7A"/>
    <w:rsid w:val="155219D3"/>
    <w:rsid w:val="15FE7C46"/>
    <w:rsid w:val="16175528"/>
    <w:rsid w:val="161C14BF"/>
    <w:rsid w:val="16396F4B"/>
    <w:rsid w:val="16436F5A"/>
    <w:rsid w:val="164E1FAB"/>
    <w:rsid w:val="165773C2"/>
    <w:rsid w:val="16A102CE"/>
    <w:rsid w:val="16A52765"/>
    <w:rsid w:val="16E36AB1"/>
    <w:rsid w:val="17133ECE"/>
    <w:rsid w:val="176818BF"/>
    <w:rsid w:val="178C6BF2"/>
    <w:rsid w:val="17AE2E53"/>
    <w:rsid w:val="17B243FB"/>
    <w:rsid w:val="17C62E78"/>
    <w:rsid w:val="17CA0823"/>
    <w:rsid w:val="17E267F9"/>
    <w:rsid w:val="17F52E64"/>
    <w:rsid w:val="17FA5E44"/>
    <w:rsid w:val="181E0E48"/>
    <w:rsid w:val="181E6360"/>
    <w:rsid w:val="1821268E"/>
    <w:rsid w:val="182C56B9"/>
    <w:rsid w:val="18350C44"/>
    <w:rsid w:val="186617A0"/>
    <w:rsid w:val="18A6137C"/>
    <w:rsid w:val="18B0756E"/>
    <w:rsid w:val="18D62848"/>
    <w:rsid w:val="18F91C2D"/>
    <w:rsid w:val="18FA3DC4"/>
    <w:rsid w:val="1921046B"/>
    <w:rsid w:val="197B7862"/>
    <w:rsid w:val="199008F8"/>
    <w:rsid w:val="19B74155"/>
    <w:rsid w:val="19CF4BC1"/>
    <w:rsid w:val="19EB104A"/>
    <w:rsid w:val="19FD6503"/>
    <w:rsid w:val="1A19393D"/>
    <w:rsid w:val="1A2F146E"/>
    <w:rsid w:val="1A722FA1"/>
    <w:rsid w:val="1A81096D"/>
    <w:rsid w:val="1A84029D"/>
    <w:rsid w:val="1AB175CD"/>
    <w:rsid w:val="1AB574C5"/>
    <w:rsid w:val="1AC27A2C"/>
    <w:rsid w:val="1AC759AF"/>
    <w:rsid w:val="1ACA5766"/>
    <w:rsid w:val="1ADB1A39"/>
    <w:rsid w:val="1AE32ACD"/>
    <w:rsid w:val="1B042E72"/>
    <w:rsid w:val="1B1A33C4"/>
    <w:rsid w:val="1B1F66FC"/>
    <w:rsid w:val="1B7E0D88"/>
    <w:rsid w:val="1B837CF8"/>
    <w:rsid w:val="1BA56199"/>
    <w:rsid w:val="1C072BC1"/>
    <w:rsid w:val="1C1C3FAA"/>
    <w:rsid w:val="1C2B3ECE"/>
    <w:rsid w:val="1C354059"/>
    <w:rsid w:val="1C42709C"/>
    <w:rsid w:val="1C6C40F3"/>
    <w:rsid w:val="1CAA2E7D"/>
    <w:rsid w:val="1D235A85"/>
    <w:rsid w:val="1D3D5D17"/>
    <w:rsid w:val="1D567998"/>
    <w:rsid w:val="1D6A479E"/>
    <w:rsid w:val="1DB041F5"/>
    <w:rsid w:val="1DB57EDF"/>
    <w:rsid w:val="1DD134B5"/>
    <w:rsid w:val="1DE65257"/>
    <w:rsid w:val="1E3C794C"/>
    <w:rsid w:val="1E6D3D85"/>
    <w:rsid w:val="1E9440F0"/>
    <w:rsid w:val="1EAA504D"/>
    <w:rsid w:val="1EAC09AC"/>
    <w:rsid w:val="1EFD4E3F"/>
    <w:rsid w:val="1F120F82"/>
    <w:rsid w:val="1F1E70E9"/>
    <w:rsid w:val="1F456A61"/>
    <w:rsid w:val="1FA37E2C"/>
    <w:rsid w:val="1FB123D4"/>
    <w:rsid w:val="1FC46809"/>
    <w:rsid w:val="1FEA3D63"/>
    <w:rsid w:val="200B2815"/>
    <w:rsid w:val="20303594"/>
    <w:rsid w:val="208760C8"/>
    <w:rsid w:val="208E2538"/>
    <w:rsid w:val="20E8359B"/>
    <w:rsid w:val="2103478D"/>
    <w:rsid w:val="21357E35"/>
    <w:rsid w:val="21415B46"/>
    <w:rsid w:val="2179024E"/>
    <w:rsid w:val="21912FA1"/>
    <w:rsid w:val="219914E7"/>
    <w:rsid w:val="219C06C7"/>
    <w:rsid w:val="22082794"/>
    <w:rsid w:val="221943D6"/>
    <w:rsid w:val="22C3592C"/>
    <w:rsid w:val="22F15479"/>
    <w:rsid w:val="22FA054C"/>
    <w:rsid w:val="231A389B"/>
    <w:rsid w:val="231A399D"/>
    <w:rsid w:val="235B27CC"/>
    <w:rsid w:val="23BC770E"/>
    <w:rsid w:val="241B6079"/>
    <w:rsid w:val="242C4776"/>
    <w:rsid w:val="24415E66"/>
    <w:rsid w:val="247E06E4"/>
    <w:rsid w:val="248553AF"/>
    <w:rsid w:val="249A66FD"/>
    <w:rsid w:val="24AC0236"/>
    <w:rsid w:val="24CB3A7A"/>
    <w:rsid w:val="24CD1119"/>
    <w:rsid w:val="24E17D63"/>
    <w:rsid w:val="24F01236"/>
    <w:rsid w:val="2500187D"/>
    <w:rsid w:val="25131149"/>
    <w:rsid w:val="2544795C"/>
    <w:rsid w:val="255973C6"/>
    <w:rsid w:val="255D305C"/>
    <w:rsid w:val="257D0D7B"/>
    <w:rsid w:val="25916979"/>
    <w:rsid w:val="259D0E7A"/>
    <w:rsid w:val="25D71ADD"/>
    <w:rsid w:val="25D84592"/>
    <w:rsid w:val="262E6380"/>
    <w:rsid w:val="26635934"/>
    <w:rsid w:val="26D057A2"/>
    <w:rsid w:val="26D25598"/>
    <w:rsid w:val="26ED5E31"/>
    <w:rsid w:val="27084E46"/>
    <w:rsid w:val="270C1F17"/>
    <w:rsid w:val="272C4BAB"/>
    <w:rsid w:val="274815F0"/>
    <w:rsid w:val="27483067"/>
    <w:rsid w:val="27537B32"/>
    <w:rsid w:val="276205CD"/>
    <w:rsid w:val="27786C5E"/>
    <w:rsid w:val="27BA11F6"/>
    <w:rsid w:val="27D171E0"/>
    <w:rsid w:val="280C7D11"/>
    <w:rsid w:val="280F0CF1"/>
    <w:rsid w:val="282A264F"/>
    <w:rsid w:val="282C7E13"/>
    <w:rsid w:val="282F4CB8"/>
    <w:rsid w:val="28664823"/>
    <w:rsid w:val="288764EB"/>
    <w:rsid w:val="28EE2E75"/>
    <w:rsid w:val="2911326E"/>
    <w:rsid w:val="29177195"/>
    <w:rsid w:val="2928376B"/>
    <w:rsid w:val="29292876"/>
    <w:rsid w:val="294A1318"/>
    <w:rsid w:val="295771E6"/>
    <w:rsid w:val="29D4385E"/>
    <w:rsid w:val="29DF09A6"/>
    <w:rsid w:val="29E2403E"/>
    <w:rsid w:val="29E9308E"/>
    <w:rsid w:val="2A01123C"/>
    <w:rsid w:val="2A012B32"/>
    <w:rsid w:val="2A284279"/>
    <w:rsid w:val="2A2E5413"/>
    <w:rsid w:val="2A585CB7"/>
    <w:rsid w:val="2A706ED1"/>
    <w:rsid w:val="2A905451"/>
    <w:rsid w:val="2A95365C"/>
    <w:rsid w:val="2AC81714"/>
    <w:rsid w:val="2ACC6C6B"/>
    <w:rsid w:val="2AE211B2"/>
    <w:rsid w:val="2AE9690F"/>
    <w:rsid w:val="2B0D6532"/>
    <w:rsid w:val="2B406345"/>
    <w:rsid w:val="2B8F5708"/>
    <w:rsid w:val="2BA5399C"/>
    <w:rsid w:val="2C2E2DFC"/>
    <w:rsid w:val="2C3979F2"/>
    <w:rsid w:val="2C6F3579"/>
    <w:rsid w:val="2C784420"/>
    <w:rsid w:val="2C8113C9"/>
    <w:rsid w:val="2C840FE5"/>
    <w:rsid w:val="2CD14932"/>
    <w:rsid w:val="2CF75313"/>
    <w:rsid w:val="2CFD4546"/>
    <w:rsid w:val="2D145EC5"/>
    <w:rsid w:val="2D2D024C"/>
    <w:rsid w:val="2D5C786C"/>
    <w:rsid w:val="2D684463"/>
    <w:rsid w:val="2D794BD5"/>
    <w:rsid w:val="2D98413C"/>
    <w:rsid w:val="2DA27B95"/>
    <w:rsid w:val="2DBF7F88"/>
    <w:rsid w:val="2DCA4231"/>
    <w:rsid w:val="2E124216"/>
    <w:rsid w:val="2E172668"/>
    <w:rsid w:val="2E332B84"/>
    <w:rsid w:val="2E6B3A9D"/>
    <w:rsid w:val="2E871900"/>
    <w:rsid w:val="2EA36262"/>
    <w:rsid w:val="2EDD678B"/>
    <w:rsid w:val="2F08555E"/>
    <w:rsid w:val="2F085758"/>
    <w:rsid w:val="2F320885"/>
    <w:rsid w:val="2F3F7F56"/>
    <w:rsid w:val="2F4F707A"/>
    <w:rsid w:val="2F53420F"/>
    <w:rsid w:val="2FAF1ED5"/>
    <w:rsid w:val="2FD45D99"/>
    <w:rsid w:val="2FDB3B1E"/>
    <w:rsid w:val="2FF43D8C"/>
    <w:rsid w:val="2FF522D5"/>
    <w:rsid w:val="2FFC71C6"/>
    <w:rsid w:val="30313232"/>
    <w:rsid w:val="306D4C14"/>
    <w:rsid w:val="307B5CC3"/>
    <w:rsid w:val="30894E1C"/>
    <w:rsid w:val="308A4336"/>
    <w:rsid w:val="30B3361E"/>
    <w:rsid w:val="30DC4F4C"/>
    <w:rsid w:val="31044F7C"/>
    <w:rsid w:val="31200851"/>
    <w:rsid w:val="31831750"/>
    <w:rsid w:val="3189778C"/>
    <w:rsid w:val="318D6AD6"/>
    <w:rsid w:val="31AA7543"/>
    <w:rsid w:val="31C61081"/>
    <w:rsid w:val="31D25FD2"/>
    <w:rsid w:val="31EA5456"/>
    <w:rsid w:val="31EF1FC4"/>
    <w:rsid w:val="323F00BC"/>
    <w:rsid w:val="32430FFB"/>
    <w:rsid w:val="324700B2"/>
    <w:rsid w:val="33027ECE"/>
    <w:rsid w:val="330A22E8"/>
    <w:rsid w:val="330F0153"/>
    <w:rsid w:val="33132CF8"/>
    <w:rsid w:val="3334531C"/>
    <w:rsid w:val="33564484"/>
    <w:rsid w:val="336A3327"/>
    <w:rsid w:val="33713745"/>
    <w:rsid w:val="339417C4"/>
    <w:rsid w:val="341B5D8B"/>
    <w:rsid w:val="34264611"/>
    <w:rsid w:val="343C2E1D"/>
    <w:rsid w:val="343E30F0"/>
    <w:rsid w:val="348E513C"/>
    <w:rsid w:val="34951FE2"/>
    <w:rsid w:val="34A77C54"/>
    <w:rsid w:val="34B74329"/>
    <w:rsid w:val="34E25FED"/>
    <w:rsid w:val="34FF4C0B"/>
    <w:rsid w:val="3518217F"/>
    <w:rsid w:val="354F3FC5"/>
    <w:rsid w:val="358C3BA0"/>
    <w:rsid w:val="35BC7A15"/>
    <w:rsid w:val="35C250E6"/>
    <w:rsid w:val="35D07049"/>
    <w:rsid w:val="35D33883"/>
    <w:rsid w:val="364C2B74"/>
    <w:rsid w:val="36A26439"/>
    <w:rsid w:val="36A86284"/>
    <w:rsid w:val="36B86E24"/>
    <w:rsid w:val="372845B2"/>
    <w:rsid w:val="3730757F"/>
    <w:rsid w:val="37356353"/>
    <w:rsid w:val="373B1623"/>
    <w:rsid w:val="375F2F23"/>
    <w:rsid w:val="37790A88"/>
    <w:rsid w:val="3787038C"/>
    <w:rsid w:val="37BE00EC"/>
    <w:rsid w:val="37CC35F3"/>
    <w:rsid w:val="37DD6246"/>
    <w:rsid w:val="37E80261"/>
    <w:rsid w:val="37ED3EE3"/>
    <w:rsid w:val="37FC2378"/>
    <w:rsid w:val="380D3155"/>
    <w:rsid w:val="381E23B5"/>
    <w:rsid w:val="38211DDE"/>
    <w:rsid w:val="382D7593"/>
    <w:rsid w:val="38622AFA"/>
    <w:rsid w:val="387272BF"/>
    <w:rsid w:val="387C3F07"/>
    <w:rsid w:val="38865B2F"/>
    <w:rsid w:val="38E250CA"/>
    <w:rsid w:val="38F14A9A"/>
    <w:rsid w:val="3905533F"/>
    <w:rsid w:val="391B060E"/>
    <w:rsid w:val="39264334"/>
    <w:rsid w:val="39275408"/>
    <w:rsid w:val="3949339B"/>
    <w:rsid w:val="39537D75"/>
    <w:rsid w:val="39694B31"/>
    <w:rsid w:val="39824C43"/>
    <w:rsid w:val="398B0B0F"/>
    <w:rsid w:val="398E6D0B"/>
    <w:rsid w:val="39BC591B"/>
    <w:rsid w:val="39C050AD"/>
    <w:rsid w:val="39C64A66"/>
    <w:rsid w:val="39DE7F87"/>
    <w:rsid w:val="3A030663"/>
    <w:rsid w:val="3A193765"/>
    <w:rsid w:val="3A910E69"/>
    <w:rsid w:val="3AB301FA"/>
    <w:rsid w:val="3AD354E6"/>
    <w:rsid w:val="3AD81184"/>
    <w:rsid w:val="3AE12B76"/>
    <w:rsid w:val="3B1904CB"/>
    <w:rsid w:val="3B2518DE"/>
    <w:rsid w:val="3B3F22C6"/>
    <w:rsid w:val="3B504FA6"/>
    <w:rsid w:val="3BAB1A67"/>
    <w:rsid w:val="3BFE4DC9"/>
    <w:rsid w:val="3C064771"/>
    <w:rsid w:val="3C652BF9"/>
    <w:rsid w:val="3C865FBC"/>
    <w:rsid w:val="3C8B386E"/>
    <w:rsid w:val="3C8F2962"/>
    <w:rsid w:val="3CA60B04"/>
    <w:rsid w:val="3CA67A9F"/>
    <w:rsid w:val="3CDD7A17"/>
    <w:rsid w:val="3CED04E1"/>
    <w:rsid w:val="3CFC3DEE"/>
    <w:rsid w:val="3CFD5E39"/>
    <w:rsid w:val="3D1200FE"/>
    <w:rsid w:val="3D1B4620"/>
    <w:rsid w:val="3D1D2B74"/>
    <w:rsid w:val="3D404AB5"/>
    <w:rsid w:val="3D5F3681"/>
    <w:rsid w:val="3D7309E6"/>
    <w:rsid w:val="3DBC0B10"/>
    <w:rsid w:val="3DD1338A"/>
    <w:rsid w:val="3DF44DD4"/>
    <w:rsid w:val="3E051E67"/>
    <w:rsid w:val="3E1079E4"/>
    <w:rsid w:val="3E133F77"/>
    <w:rsid w:val="3E182457"/>
    <w:rsid w:val="3E3C1720"/>
    <w:rsid w:val="3E86299B"/>
    <w:rsid w:val="3E88008E"/>
    <w:rsid w:val="3E984FE9"/>
    <w:rsid w:val="3E9FA07E"/>
    <w:rsid w:val="3EB76FF8"/>
    <w:rsid w:val="3EBC63BD"/>
    <w:rsid w:val="3EC80CDE"/>
    <w:rsid w:val="3F033412"/>
    <w:rsid w:val="3F060A5B"/>
    <w:rsid w:val="3F0B45B6"/>
    <w:rsid w:val="3F685D87"/>
    <w:rsid w:val="3F7A3AC2"/>
    <w:rsid w:val="3FA3326B"/>
    <w:rsid w:val="3FFD6C8D"/>
    <w:rsid w:val="40191044"/>
    <w:rsid w:val="411C1395"/>
    <w:rsid w:val="41556814"/>
    <w:rsid w:val="41752CDE"/>
    <w:rsid w:val="41D05677"/>
    <w:rsid w:val="42016010"/>
    <w:rsid w:val="423B445B"/>
    <w:rsid w:val="426E3E72"/>
    <w:rsid w:val="428251DB"/>
    <w:rsid w:val="42964435"/>
    <w:rsid w:val="42C23130"/>
    <w:rsid w:val="42D71D53"/>
    <w:rsid w:val="42EF7588"/>
    <w:rsid w:val="42F448D4"/>
    <w:rsid w:val="43474762"/>
    <w:rsid w:val="43844387"/>
    <w:rsid w:val="4389161E"/>
    <w:rsid w:val="43974288"/>
    <w:rsid w:val="439F5506"/>
    <w:rsid w:val="43BB30E7"/>
    <w:rsid w:val="43C144A2"/>
    <w:rsid w:val="43C65DA8"/>
    <w:rsid w:val="43E0128D"/>
    <w:rsid w:val="43EB299A"/>
    <w:rsid w:val="440C56F0"/>
    <w:rsid w:val="440F147B"/>
    <w:rsid w:val="44141429"/>
    <w:rsid w:val="447A4D50"/>
    <w:rsid w:val="44896D41"/>
    <w:rsid w:val="449A4C12"/>
    <w:rsid w:val="449E1487"/>
    <w:rsid w:val="44C85ABB"/>
    <w:rsid w:val="44D452BA"/>
    <w:rsid w:val="44F25BB1"/>
    <w:rsid w:val="45104BE6"/>
    <w:rsid w:val="45132AAF"/>
    <w:rsid w:val="4517434D"/>
    <w:rsid w:val="459C6FFC"/>
    <w:rsid w:val="45C14532"/>
    <w:rsid w:val="45EE0BA3"/>
    <w:rsid w:val="460F4F06"/>
    <w:rsid w:val="463B5D41"/>
    <w:rsid w:val="464A4562"/>
    <w:rsid w:val="466967AA"/>
    <w:rsid w:val="46A3209A"/>
    <w:rsid w:val="46AB75EC"/>
    <w:rsid w:val="46CC6013"/>
    <w:rsid w:val="471274C2"/>
    <w:rsid w:val="471E1788"/>
    <w:rsid w:val="47292039"/>
    <w:rsid w:val="47592235"/>
    <w:rsid w:val="479635F9"/>
    <w:rsid w:val="481C57BF"/>
    <w:rsid w:val="482B56E1"/>
    <w:rsid w:val="4848609B"/>
    <w:rsid w:val="4852746A"/>
    <w:rsid w:val="48593CD4"/>
    <w:rsid w:val="4864409A"/>
    <w:rsid w:val="48770C7F"/>
    <w:rsid w:val="48961A2D"/>
    <w:rsid w:val="48C53F99"/>
    <w:rsid w:val="48C74CD3"/>
    <w:rsid w:val="48E60C18"/>
    <w:rsid w:val="4904108C"/>
    <w:rsid w:val="491237A9"/>
    <w:rsid w:val="492D05E3"/>
    <w:rsid w:val="49346CC6"/>
    <w:rsid w:val="493C2472"/>
    <w:rsid w:val="49664C37"/>
    <w:rsid w:val="496C0E88"/>
    <w:rsid w:val="499A7ACA"/>
    <w:rsid w:val="49CC5100"/>
    <w:rsid w:val="4A0E187F"/>
    <w:rsid w:val="4A111CB3"/>
    <w:rsid w:val="4A425957"/>
    <w:rsid w:val="4A4F27DB"/>
    <w:rsid w:val="4A5109D4"/>
    <w:rsid w:val="4AF350DE"/>
    <w:rsid w:val="4B0F3898"/>
    <w:rsid w:val="4B223C16"/>
    <w:rsid w:val="4B2257F9"/>
    <w:rsid w:val="4B37566A"/>
    <w:rsid w:val="4B3F5F2B"/>
    <w:rsid w:val="4BCB614C"/>
    <w:rsid w:val="4BDC5663"/>
    <w:rsid w:val="4BE83DFC"/>
    <w:rsid w:val="4C082411"/>
    <w:rsid w:val="4C45103A"/>
    <w:rsid w:val="4C5D5B32"/>
    <w:rsid w:val="4C7A639D"/>
    <w:rsid w:val="4CA77A88"/>
    <w:rsid w:val="4CC34DBA"/>
    <w:rsid w:val="4CE54D31"/>
    <w:rsid w:val="4CE91A69"/>
    <w:rsid w:val="4CF5205D"/>
    <w:rsid w:val="4CFB8A5B"/>
    <w:rsid w:val="4DAC348D"/>
    <w:rsid w:val="4DB049C0"/>
    <w:rsid w:val="4DBE3EFF"/>
    <w:rsid w:val="4DD63967"/>
    <w:rsid w:val="4E0D626A"/>
    <w:rsid w:val="4E183BFE"/>
    <w:rsid w:val="4E1D7913"/>
    <w:rsid w:val="4E3217BE"/>
    <w:rsid w:val="4E403AAD"/>
    <w:rsid w:val="4E4E286F"/>
    <w:rsid w:val="4E531FC0"/>
    <w:rsid w:val="4E5D3762"/>
    <w:rsid w:val="4EAD6BF5"/>
    <w:rsid w:val="4EBC0748"/>
    <w:rsid w:val="4EC45545"/>
    <w:rsid w:val="4ECB0493"/>
    <w:rsid w:val="4ECC3762"/>
    <w:rsid w:val="4EDE6B77"/>
    <w:rsid w:val="4EFB7EB8"/>
    <w:rsid w:val="4F1F277C"/>
    <w:rsid w:val="4F2F4720"/>
    <w:rsid w:val="4F4940D8"/>
    <w:rsid w:val="4F730D1A"/>
    <w:rsid w:val="4FB05ACA"/>
    <w:rsid w:val="4FBF7ABB"/>
    <w:rsid w:val="4FE23640"/>
    <w:rsid w:val="4FED4605"/>
    <w:rsid w:val="4FFA29D6"/>
    <w:rsid w:val="50023AE7"/>
    <w:rsid w:val="503305EE"/>
    <w:rsid w:val="50561BEF"/>
    <w:rsid w:val="50A32F39"/>
    <w:rsid w:val="50AD2009"/>
    <w:rsid w:val="512A5408"/>
    <w:rsid w:val="513151C4"/>
    <w:rsid w:val="517F3380"/>
    <w:rsid w:val="51C22291"/>
    <w:rsid w:val="51F5342B"/>
    <w:rsid w:val="52332F51"/>
    <w:rsid w:val="52386D6F"/>
    <w:rsid w:val="52851BBF"/>
    <w:rsid w:val="528B5881"/>
    <w:rsid w:val="52A0415B"/>
    <w:rsid w:val="52AB07CA"/>
    <w:rsid w:val="52B809B9"/>
    <w:rsid w:val="52E0248C"/>
    <w:rsid w:val="52E066C6"/>
    <w:rsid w:val="52E13353"/>
    <w:rsid w:val="52E559D7"/>
    <w:rsid w:val="52FE47AC"/>
    <w:rsid w:val="533A17A5"/>
    <w:rsid w:val="53465E28"/>
    <w:rsid w:val="534B1050"/>
    <w:rsid w:val="5361781D"/>
    <w:rsid w:val="536522FB"/>
    <w:rsid w:val="5370241B"/>
    <w:rsid w:val="53785E73"/>
    <w:rsid w:val="538B58DC"/>
    <w:rsid w:val="539260FB"/>
    <w:rsid w:val="53ADECAB"/>
    <w:rsid w:val="53E53868"/>
    <w:rsid w:val="53F410D7"/>
    <w:rsid w:val="53FD7C6B"/>
    <w:rsid w:val="54205209"/>
    <w:rsid w:val="54487F56"/>
    <w:rsid w:val="5480721E"/>
    <w:rsid w:val="548A3477"/>
    <w:rsid w:val="548D6D6B"/>
    <w:rsid w:val="54AF0073"/>
    <w:rsid w:val="550906E8"/>
    <w:rsid w:val="551B6EF1"/>
    <w:rsid w:val="552160C4"/>
    <w:rsid w:val="55570796"/>
    <w:rsid w:val="557E5EAF"/>
    <w:rsid w:val="55961D9B"/>
    <w:rsid w:val="55A40D83"/>
    <w:rsid w:val="55F22D46"/>
    <w:rsid w:val="55F36710"/>
    <w:rsid w:val="560E61C5"/>
    <w:rsid w:val="56A81B8F"/>
    <w:rsid w:val="56D02FB6"/>
    <w:rsid w:val="56F855E6"/>
    <w:rsid w:val="56FE090D"/>
    <w:rsid w:val="57295295"/>
    <w:rsid w:val="572D1195"/>
    <w:rsid w:val="5736351F"/>
    <w:rsid w:val="5737759B"/>
    <w:rsid w:val="573A3ADD"/>
    <w:rsid w:val="577B076B"/>
    <w:rsid w:val="577D74E9"/>
    <w:rsid w:val="57A2219C"/>
    <w:rsid w:val="57C97EF9"/>
    <w:rsid w:val="57E816E6"/>
    <w:rsid w:val="57FE2087"/>
    <w:rsid w:val="585D5913"/>
    <w:rsid w:val="586B71C9"/>
    <w:rsid w:val="5889335C"/>
    <w:rsid w:val="58D8399B"/>
    <w:rsid w:val="58DD36E9"/>
    <w:rsid w:val="590154BD"/>
    <w:rsid w:val="59527B6B"/>
    <w:rsid w:val="596F2E54"/>
    <w:rsid w:val="59956CCF"/>
    <w:rsid w:val="59AF7439"/>
    <w:rsid w:val="59B60181"/>
    <w:rsid w:val="59B907C1"/>
    <w:rsid w:val="59CC251A"/>
    <w:rsid w:val="59E33FF0"/>
    <w:rsid w:val="59EA54F5"/>
    <w:rsid w:val="5A5B4E1E"/>
    <w:rsid w:val="5A607799"/>
    <w:rsid w:val="5A79436A"/>
    <w:rsid w:val="5AB81CD6"/>
    <w:rsid w:val="5AC34E88"/>
    <w:rsid w:val="5ACB3EE2"/>
    <w:rsid w:val="5AE96334"/>
    <w:rsid w:val="5AED1980"/>
    <w:rsid w:val="5B13142F"/>
    <w:rsid w:val="5B1769FD"/>
    <w:rsid w:val="5B4B2BCB"/>
    <w:rsid w:val="5B6D2930"/>
    <w:rsid w:val="5B98016E"/>
    <w:rsid w:val="5B9B2AAE"/>
    <w:rsid w:val="5B9E711E"/>
    <w:rsid w:val="5BEF05B4"/>
    <w:rsid w:val="5BF9129C"/>
    <w:rsid w:val="5C000884"/>
    <w:rsid w:val="5C0827EA"/>
    <w:rsid w:val="5C1949F7"/>
    <w:rsid w:val="5C224F8E"/>
    <w:rsid w:val="5C240B88"/>
    <w:rsid w:val="5C2740F2"/>
    <w:rsid w:val="5C317F92"/>
    <w:rsid w:val="5C9C0F66"/>
    <w:rsid w:val="5CE943C9"/>
    <w:rsid w:val="5CF3B888"/>
    <w:rsid w:val="5D1A0A26"/>
    <w:rsid w:val="5D5C2CCF"/>
    <w:rsid w:val="5D6B28FE"/>
    <w:rsid w:val="5E0606ED"/>
    <w:rsid w:val="5E0D1B19"/>
    <w:rsid w:val="5E214E94"/>
    <w:rsid w:val="5E275C6B"/>
    <w:rsid w:val="5E294417"/>
    <w:rsid w:val="5E553A15"/>
    <w:rsid w:val="5E5703AB"/>
    <w:rsid w:val="5E5B12F6"/>
    <w:rsid w:val="5E631F79"/>
    <w:rsid w:val="5E7004E1"/>
    <w:rsid w:val="5E764C6B"/>
    <w:rsid w:val="5E7F3F9B"/>
    <w:rsid w:val="5E9D4855"/>
    <w:rsid w:val="5E9E3209"/>
    <w:rsid w:val="5EB7431F"/>
    <w:rsid w:val="5EB92EC5"/>
    <w:rsid w:val="5EC073AC"/>
    <w:rsid w:val="5ECD4C7F"/>
    <w:rsid w:val="5EDE1B6E"/>
    <w:rsid w:val="5EEC66E6"/>
    <w:rsid w:val="5F077925"/>
    <w:rsid w:val="5F093C78"/>
    <w:rsid w:val="5F5A1107"/>
    <w:rsid w:val="5F7E1BB9"/>
    <w:rsid w:val="5F831A12"/>
    <w:rsid w:val="5F9F78C9"/>
    <w:rsid w:val="5FAD7930"/>
    <w:rsid w:val="5FB95F86"/>
    <w:rsid w:val="5FE1582B"/>
    <w:rsid w:val="5FF70784"/>
    <w:rsid w:val="5FF94275"/>
    <w:rsid w:val="5FFF2580"/>
    <w:rsid w:val="601163AE"/>
    <w:rsid w:val="6048573D"/>
    <w:rsid w:val="60811A98"/>
    <w:rsid w:val="608D3EAD"/>
    <w:rsid w:val="60E03D35"/>
    <w:rsid w:val="60EC2EEB"/>
    <w:rsid w:val="60FF5FDD"/>
    <w:rsid w:val="61271964"/>
    <w:rsid w:val="613E56F4"/>
    <w:rsid w:val="61644E1F"/>
    <w:rsid w:val="617E5460"/>
    <w:rsid w:val="61B52ACC"/>
    <w:rsid w:val="61E02C8B"/>
    <w:rsid w:val="61F96E5C"/>
    <w:rsid w:val="622E772C"/>
    <w:rsid w:val="625323D6"/>
    <w:rsid w:val="62547A4D"/>
    <w:rsid w:val="6260129E"/>
    <w:rsid w:val="62813E61"/>
    <w:rsid w:val="62AA6F5F"/>
    <w:rsid w:val="62AD6565"/>
    <w:rsid w:val="62EE098B"/>
    <w:rsid w:val="6300246C"/>
    <w:rsid w:val="63217F42"/>
    <w:rsid w:val="638239E5"/>
    <w:rsid w:val="63870A62"/>
    <w:rsid w:val="638C3D00"/>
    <w:rsid w:val="63962438"/>
    <w:rsid w:val="63D556A7"/>
    <w:rsid w:val="63E10B0C"/>
    <w:rsid w:val="63F024E1"/>
    <w:rsid w:val="63F20007"/>
    <w:rsid w:val="63F3279C"/>
    <w:rsid w:val="640059A5"/>
    <w:rsid w:val="640612C6"/>
    <w:rsid w:val="647A6E52"/>
    <w:rsid w:val="64EE5D8F"/>
    <w:rsid w:val="6500065A"/>
    <w:rsid w:val="651F271D"/>
    <w:rsid w:val="6537764C"/>
    <w:rsid w:val="653777CF"/>
    <w:rsid w:val="65406262"/>
    <w:rsid w:val="65990867"/>
    <w:rsid w:val="65E578BD"/>
    <w:rsid w:val="6612623B"/>
    <w:rsid w:val="661C75BD"/>
    <w:rsid w:val="66581705"/>
    <w:rsid w:val="666A4D62"/>
    <w:rsid w:val="668A5EDC"/>
    <w:rsid w:val="66927680"/>
    <w:rsid w:val="66D06442"/>
    <w:rsid w:val="66DE04FB"/>
    <w:rsid w:val="66ED2371"/>
    <w:rsid w:val="67180D7A"/>
    <w:rsid w:val="67346B89"/>
    <w:rsid w:val="6756300A"/>
    <w:rsid w:val="67663F7B"/>
    <w:rsid w:val="6792245C"/>
    <w:rsid w:val="67AC56C6"/>
    <w:rsid w:val="67AF22B3"/>
    <w:rsid w:val="67CF623D"/>
    <w:rsid w:val="67E61C31"/>
    <w:rsid w:val="67F24A7A"/>
    <w:rsid w:val="6801069F"/>
    <w:rsid w:val="680F265C"/>
    <w:rsid w:val="6832131A"/>
    <w:rsid w:val="68511B31"/>
    <w:rsid w:val="687D6CC8"/>
    <w:rsid w:val="68BA7C55"/>
    <w:rsid w:val="68C6580E"/>
    <w:rsid w:val="68C857DA"/>
    <w:rsid w:val="68CA286A"/>
    <w:rsid w:val="68D8569B"/>
    <w:rsid w:val="68E66C0F"/>
    <w:rsid w:val="690A7BA1"/>
    <w:rsid w:val="69113DCA"/>
    <w:rsid w:val="69130912"/>
    <w:rsid w:val="691427CE"/>
    <w:rsid w:val="69841DF5"/>
    <w:rsid w:val="69C74AD1"/>
    <w:rsid w:val="69C935B8"/>
    <w:rsid w:val="69CB77D8"/>
    <w:rsid w:val="69D6627D"/>
    <w:rsid w:val="69E67FAA"/>
    <w:rsid w:val="69F50851"/>
    <w:rsid w:val="6A323B2C"/>
    <w:rsid w:val="6A524C0E"/>
    <w:rsid w:val="6A6B296C"/>
    <w:rsid w:val="6A7B5A09"/>
    <w:rsid w:val="6A867F81"/>
    <w:rsid w:val="6A9846C4"/>
    <w:rsid w:val="6ABA5648"/>
    <w:rsid w:val="6AC33480"/>
    <w:rsid w:val="6AC56475"/>
    <w:rsid w:val="6B1806CB"/>
    <w:rsid w:val="6B453112"/>
    <w:rsid w:val="6BAA0F42"/>
    <w:rsid w:val="6BAC13E3"/>
    <w:rsid w:val="6C2646D1"/>
    <w:rsid w:val="6C2754DB"/>
    <w:rsid w:val="6C283E6B"/>
    <w:rsid w:val="6C3C5A5C"/>
    <w:rsid w:val="6C5A3FCD"/>
    <w:rsid w:val="6C681A88"/>
    <w:rsid w:val="6C721C9A"/>
    <w:rsid w:val="6C757A27"/>
    <w:rsid w:val="6C942E03"/>
    <w:rsid w:val="6CB62996"/>
    <w:rsid w:val="6CDD1D59"/>
    <w:rsid w:val="6D2D0AA9"/>
    <w:rsid w:val="6D435152"/>
    <w:rsid w:val="6D5A0320"/>
    <w:rsid w:val="6D6616AA"/>
    <w:rsid w:val="6D731B27"/>
    <w:rsid w:val="6D76258B"/>
    <w:rsid w:val="6DA87988"/>
    <w:rsid w:val="6DAC27FB"/>
    <w:rsid w:val="6DB10E69"/>
    <w:rsid w:val="6DCA5B51"/>
    <w:rsid w:val="6DD72739"/>
    <w:rsid w:val="6DEC3D19"/>
    <w:rsid w:val="6DF27E1D"/>
    <w:rsid w:val="6E7050A9"/>
    <w:rsid w:val="6E7A59CD"/>
    <w:rsid w:val="6E9610D2"/>
    <w:rsid w:val="6E9C25A7"/>
    <w:rsid w:val="6EB157E8"/>
    <w:rsid w:val="6ECD36FF"/>
    <w:rsid w:val="6ED1074D"/>
    <w:rsid w:val="6EE87D98"/>
    <w:rsid w:val="6EE92007"/>
    <w:rsid w:val="6EEA7239"/>
    <w:rsid w:val="6F1957D5"/>
    <w:rsid w:val="6F535FB4"/>
    <w:rsid w:val="6F7FCB0B"/>
    <w:rsid w:val="6FA475BA"/>
    <w:rsid w:val="6FB940CF"/>
    <w:rsid w:val="70076BE8"/>
    <w:rsid w:val="70254438"/>
    <w:rsid w:val="705D5B4C"/>
    <w:rsid w:val="70810F1E"/>
    <w:rsid w:val="70C42C4C"/>
    <w:rsid w:val="70C911BE"/>
    <w:rsid w:val="70D13822"/>
    <w:rsid w:val="71085C83"/>
    <w:rsid w:val="71532927"/>
    <w:rsid w:val="716A6CA7"/>
    <w:rsid w:val="71754C6E"/>
    <w:rsid w:val="718D5813"/>
    <w:rsid w:val="71915F81"/>
    <w:rsid w:val="71926986"/>
    <w:rsid w:val="71A62431"/>
    <w:rsid w:val="71A754EA"/>
    <w:rsid w:val="71DB6825"/>
    <w:rsid w:val="71FE04BF"/>
    <w:rsid w:val="72014BAF"/>
    <w:rsid w:val="722132C5"/>
    <w:rsid w:val="726108F7"/>
    <w:rsid w:val="7265409A"/>
    <w:rsid w:val="7275613E"/>
    <w:rsid w:val="72A04A1F"/>
    <w:rsid w:val="72F24D9D"/>
    <w:rsid w:val="72F90492"/>
    <w:rsid w:val="72FD0CCD"/>
    <w:rsid w:val="733275F5"/>
    <w:rsid w:val="735A1725"/>
    <w:rsid w:val="736D3A66"/>
    <w:rsid w:val="738026E3"/>
    <w:rsid w:val="738F6756"/>
    <w:rsid w:val="73A82490"/>
    <w:rsid w:val="73A979E7"/>
    <w:rsid w:val="73DE0AB0"/>
    <w:rsid w:val="73F31987"/>
    <w:rsid w:val="74104D2B"/>
    <w:rsid w:val="7432739D"/>
    <w:rsid w:val="744F4674"/>
    <w:rsid w:val="745B7A3F"/>
    <w:rsid w:val="747927C4"/>
    <w:rsid w:val="74891763"/>
    <w:rsid w:val="74A92FD0"/>
    <w:rsid w:val="74AB0DC6"/>
    <w:rsid w:val="74E94A12"/>
    <w:rsid w:val="74F11C15"/>
    <w:rsid w:val="75145DFA"/>
    <w:rsid w:val="751C1388"/>
    <w:rsid w:val="754B170B"/>
    <w:rsid w:val="755146AE"/>
    <w:rsid w:val="755328D0"/>
    <w:rsid w:val="75610B49"/>
    <w:rsid w:val="756E5C26"/>
    <w:rsid w:val="756F7B86"/>
    <w:rsid w:val="75915D7B"/>
    <w:rsid w:val="759F6029"/>
    <w:rsid w:val="75A82AC5"/>
    <w:rsid w:val="75CA36CA"/>
    <w:rsid w:val="75DC1664"/>
    <w:rsid w:val="760616F0"/>
    <w:rsid w:val="760C2B4A"/>
    <w:rsid w:val="760E66A5"/>
    <w:rsid w:val="762460E6"/>
    <w:rsid w:val="763955BF"/>
    <w:rsid w:val="767D5E56"/>
    <w:rsid w:val="76AB5407"/>
    <w:rsid w:val="76D01F34"/>
    <w:rsid w:val="773A01B0"/>
    <w:rsid w:val="77446974"/>
    <w:rsid w:val="779A49A3"/>
    <w:rsid w:val="77BF6833"/>
    <w:rsid w:val="77D870BC"/>
    <w:rsid w:val="77FC16E5"/>
    <w:rsid w:val="78300CA6"/>
    <w:rsid w:val="78810DF7"/>
    <w:rsid w:val="78BC4EF9"/>
    <w:rsid w:val="78C17088"/>
    <w:rsid w:val="78C82F23"/>
    <w:rsid w:val="78D1645A"/>
    <w:rsid w:val="78FE0A2F"/>
    <w:rsid w:val="79266405"/>
    <w:rsid w:val="792F0912"/>
    <w:rsid w:val="793D529B"/>
    <w:rsid w:val="795135CA"/>
    <w:rsid w:val="798B6ADC"/>
    <w:rsid w:val="79AD10F3"/>
    <w:rsid w:val="79CE0777"/>
    <w:rsid w:val="7A383D5A"/>
    <w:rsid w:val="7A7222D5"/>
    <w:rsid w:val="7A7C11A9"/>
    <w:rsid w:val="7A895DC7"/>
    <w:rsid w:val="7A8F5DFB"/>
    <w:rsid w:val="7A902A2C"/>
    <w:rsid w:val="7AAD7B3E"/>
    <w:rsid w:val="7AC47EB7"/>
    <w:rsid w:val="7AC64F5C"/>
    <w:rsid w:val="7ADFC6B1"/>
    <w:rsid w:val="7B085052"/>
    <w:rsid w:val="7B0E3F66"/>
    <w:rsid w:val="7B1B7A76"/>
    <w:rsid w:val="7B214ED6"/>
    <w:rsid w:val="7B4B68E6"/>
    <w:rsid w:val="7B5E04A9"/>
    <w:rsid w:val="7B606E0E"/>
    <w:rsid w:val="7B6B1C4D"/>
    <w:rsid w:val="7B727A67"/>
    <w:rsid w:val="7B890DF9"/>
    <w:rsid w:val="7BA0595A"/>
    <w:rsid w:val="7BAE1EC1"/>
    <w:rsid w:val="7BBCCA58"/>
    <w:rsid w:val="7BE41421"/>
    <w:rsid w:val="7BEA6CAC"/>
    <w:rsid w:val="7BF86E5B"/>
    <w:rsid w:val="7BFAF013"/>
    <w:rsid w:val="7C073518"/>
    <w:rsid w:val="7C4079FA"/>
    <w:rsid w:val="7C413482"/>
    <w:rsid w:val="7C484810"/>
    <w:rsid w:val="7C4A67DB"/>
    <w:rsid w:val="7C4F3DF1"/>
    <w:rsid w:val="7C6D24C9"/>
    <w:rsid w:val="7C7552A4"/>
    <w:rsid w:val="7C8F2CF0"/>
    <w:rsid w:val="7CBF0CF5"/>
    <w:rsid w:val="7D3E0BA8"/>
    <w:rsid w:val="7D587C29"/>
    <w:rsid w:val="7D63567A"/>
    <w:rsid w:val="7DAE63CF"/>
    <w:rsid w:val="7DBF12B8"/>
    <w:rsid w:val="7DDC570E"/>
    <w:rsid w:val="7DFE9FF7"/>
    <w:rsid w:val="7E200091"/>
    <w:rsid w:val="7E30031F"/>
    <w:rsid w:val="7E494870"/>
    <w:rsid w:val="7E5F156C"/>
    <w:rsid w:val="7E611589"/>
    <w:rsid w:val="7E730D4D"/>
    <w:rsid w:val="7EC5586E"/>
    <w:rsid w:val="7EE9C774"/>
    <w:rsid w:val="7EF24F07"/>
    <w:rsid w:val="7EFFDE09"/>
    <w:rsid w:val="7F083F23"/>
    <w:rsid w:val="7F270D2A"/>
    <w:rsid w:val="7F3D2AE4"/>
    <w:rsid w:val="7F5A02BC"/>
    <w:rsid w:val="7F5F1397"/>
    <w:rsid w:val="7F6330BA"/>
    <w:rsid w:val="7FCC0B4F"/>
    <w:rsid w:val="7FD42583"/>
    <w:rsid w:val="7FD46120"/>
    <w:rsid w:val="7FDE9B1E"/>
    <w:rsid w:val="7FDEC608"/>
    <w:rsid w:val="7FEF5D35"/>
    <w:rsid w:val="7FF7F691"/>
    <w:rsid w:val="9DF7CEA9"/>
    <w:rsid w:val="AAFE5CD0"/>
    <w:rsid w:val="AFABD3FB"/>
    <w:rsid w:val="B7FBD042"/>
    <w:rsid w:val="BCFED2F8"/>
    <w:rsid w:val="BE6C15E5"/>
    <w:rsid w:val="BF566AEA"/>
    <w:rsid w:val="BF7DF61B"/>
    <w:rsid w:val="BFE30592"/>
    <w:rsid w:val="C73958DB"/>
    <w:rsid w:val="CEFA446B"/>
    <w:rsid w:val="D7FA22FF"/>
    <w:rsid w:val="DDBFCDE0"/>
    <w:rsid w:val="DEFD66C8"/>
    <w:rsid w:val="DFBFA6E7"/>
    <w:rsid w:val="DFEFB270"/>
    <w:rsid w:val="DFF739FF"/>
    <w:rsid w:val="E7FE35A3"/>
    <w:rsid w:val="E98A6F57"/>
    <w:rsid w:val="ED7D8D93"/>
    <w:rsid w:val="EE7C20BA"/>
    <w:rsid w:val="EEEFA9B9"/>
    <w:rsid w:val="F737B9C8"/>
    <w:rsid w:val="F79D9E32"/>
    <w:rsid w:val="F7F75B6C"/>
    <w:rsid w:val="F9F28E1D"/>
    <w:rsid w:val="FBC5179F"/>
    <w:rsid w:val="FD7F25D8"/>
    <w:rsid w:val="FDFF3205"/>
    <w:rsid w:val="FDFF5EAA"/>
    <w:rsid w:val="FF1FD7AE"/>
    <w:rsid w:val="FF9FBAD4"/>
    <w:rsid w:val="FFABA17D"/>
    <w:rsid w:val="FFBDA465"/>
    <w:rsid w:val="FFFB90C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iPriority="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pacing w:line="579" w:lineRule="exact"/>
      <w:ind w:firstLine="640" w:firstLineChars="200"/>
      <w:jc w:val="both"/>
    </w:pPr>
    <w:rPr>
      <w:rFonts w:ascii="仿宋_GB2312" w:hAnsi="仿宋_GB2312" w:eastAsia="仿宋_GB2312" w:cs="Times New Roman"/>
      <w:kern w:val="2"/>
      <w:sz w:val="32"/>
      <w:szCs w:val="22"/>
      <w:lang w:val="en-US" w:eastAsia="zh-CN" w:bidi="ar-SA"/>
    </w:rPr>
  </w:style>
  <w:style w:type="paragraph" w:styleId="4">
    <w:name w:val="heading 1"/>
    <w:basedOn w:val="1"/>
    <w:next w:val="1"/>
    <w:qFormat/>
    <w:uiPriority w:val="0"/>
    <w:pPr>
      <w:keepNext/>
      <w:keepLines/>
      <w:spacing w:before="340" w:after="330" w:line="576" w:lineRule="auto"/>
      <w:outlineLvl w:val="0"/>
    </w:pPr>
    <w:rPr>
      <w:rFonts w:eastAsia="楷体_GB2312"/>
      <w:b/>
      <w:kern w:val="44"/>
    </w:rPr>
  </w:style>
  <w:style w:type="paragraph" w:styleId="5">
    <w:name w:val="heading 2"/>
    <w:basedOn w:val="1"/>
    <w:next w:val="1"/>
    <w:link w:val="21"/>
    <w:semiHidden/>
    <w:unhideWhenUsed/>
    <w:qFormat/>
    <w:uiPriority w:val="0"/>
    <w:pPr>
      <w:keepNext/>
      <w:keepLines/>
      <w:spacing w:before="260" w:after="260" w:line="416" w:lineRule="auto"/>
      <w:outlineLvl w:val="1"/>
    </w:pPr>
    <w:rPr>
      <w:rFonts w:asciiTheme="majorHAnsi" w:hAnsiTheme="majorHAnsi" w:eastAsiaTheme="majorEastAsia" w:cstheme="majorBidi"/>
      <w:b/>
      <w:bCs/>
      <w:szCs w:val="32"/>
    </w:rPr>
  </w:style>
  <w:style w:type="paragraph" w:styleId="6">
    <w:name w:val="heading 3"/>
    <w:basedOn w:val="1"/>
    <w:next w:val="1"/>
    <w:link w:val="23"/>
    <w:semiHidden/>
    <w:unhideWhenUsed/>
    <w:qFormat/>
    <w:uiPriority w:val="0"/>
    <w:pPr>
      <w:keepNext/>
      <w:keepLines/>
      <w:spacing w:before="200" w:beforeLines="0" w:beforeAutospacing="0" w:after="60" w:afterLines="0" w:afterAutospacing="0" w:line="420" w:lineRule="exact"/>
      <w:ind w:firstLine="0" w:firstLineChars="0"/>
      <w:jc w:val="left"/>
      <w:outlineLvl w:val="2"/>
    </w:pPr>
    <w:rPr>
      <w:rFonts w:hint="eastAsia" w:ascii="宋体" w:hAnsi="宋体" w:cs="Times New Roman"/>
      <w:b/>
      <w:szCs w:val="24"/>
    </w:rPr>
  </w:style>
  <w:style w:type="character" w:default="1" w:styleId="15">
    <w:name w:val="Default Paragraph Font"/>
    <w:semiHidden/>
    <w:unhideWhenUsed/>
    <w:qFormat/>
    <w:uiPriority w:val="1"/>
  </w:style>
  <w:style w:type="table" w:default="1" w:styleId="14">
    <w:name w:val="Normal Table"/>
    <w:semiHidden/>
    <w:unhideWhenUsed/>
    <w:qFormat/>
    <w:uiPriority w:val="99"/>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8" w:type="dxa"/>
        <w:bottom w:w="0" w:type="dxa"/>
        <w:right w:w="108" w:type="dxa"/>
      </w:tblCellMar>
    </w:tblPr>
  </w:style>
  <w:style w:type="paragraph" w:styleId="2">
    <w:name w:val="Body Text First Indent 2"/>
    <w:basedOn w:val="3"/>
    <w:qFormat/>
    <w:uiPriority w:val="0"/>
    <w:pPr>
      <w:spacing w:before="0"/>
      <w:ind w:left="420" w:leftChars="200" w:firstLine="420"/>
    </w:pPr>
  </w:style>
  <w:style w:type="paragraph" w:styleId="3">
    <w:name w:val="Body Text Indent"/>
    <w:basedOn w:val="1"/>
    <w:qFormat/>
    <w:uiPriority w:val="0"/>
    <w:pPr>
      <w:spacing w:before="120" w:after="120"/>
      <w:ind w:firstLine="480"/>
    </w:pPr>
    <w:rPr>
      <w:rFonts w:ascii="宋体" w:hAnsi="宋体"/>
      <w:sz w:val="24"/>
      <w:szCs w:val="20"/>
    </w:rPr>
  </w:style>
  <w:style w:type="paragraph" w:styleId="7">
    <w:name w:val="annotation text"/>
    <w:basedOn w:val="1"/>
    <w:qFormat/>
    <w:uiPriority w:val="0"/>
    <w:pPr>
      <w:jc w:val="left"/>
    </w:pPr>
  </w:style>
  <w:style w:type="paragraph" w:styleId="8">
    <w:name w:val="Body Text"/>
    <w:basedOn w:val="1"/>
    <w:next w:val="1"/>
    <w:qFormat/>
    <w:uiPriority w:val="0"/>
    <w:pPr>
      <w:spacing w:line="579" w:lineRule="exact"/>
    </w:pPr>
    <w:rPr>
      <w:rFonts w:ascii="仿宋_GB2312" w:hAnsi="仿宋_GB2312"/>
      <w:sz w:val="32"/>
    </w:rPr>
  </w:style>
  <w:style w:type="paragraph" w:styleId="9">
    <w:name w:val="Plain Text"/>
    <w:basedOn w:val="1"/>
    <w:qFormat/>
    <w:uiPriority w:val="0"/>
    <w:rPr>
      <w:rFonts w:ascii="宋体" w:hAnsi="Courier New"/>
    </w:rPr>
  </w:style>
  <w:style w:type="paragraph" w:styleId="10">
    <w:name w:val="footer"/>
    <w:basedOn w:val="1"/>
    <w:link w:val="20"/>
    <w:qFormat/>
    <w:uiPriority w:val="0"/>
    <w:pPr>
      <w:tabs>
        <w:tab w:val="center" w:pos="4153"/>
        <w:tab w:val="right" w:pos="8306"/>
      </w:tabs>
      <w:snapToGrid w:val="0"/>
      <w:jc w:val="left"/>
    </w:pPr>
    <w:rPr>
      <w:sz w:val="18"/>
      <w:szCs w:val="18"/>
    </w:rPr>
  </w:style>
  <w:style w:type="paragraph" w:styleId="11">
    <w:name w:val="header"/>
    <w:basedOn w:val="1"/>
    <w:link w:val="19"/>
    <w:qFormat/>
    <w:uiPriority w:val="0"/>
    <w:pPr>
      <w:pBdr>
        <w:bottom w:val="single" w:color="auto" w:sz="6" w:space="1"/>
      </w:pBdr>
      <w:tabs>
        <w:tab w:val="center" w:pos="4153"/>
        <w:tab w:val="right" w:pos="8306"/>
      </w:tabs>
      <w:snapToGrid w:val="0"/>
      <w:jc w:val="center"/>
    </w:pPr>
    <w:rPr>
      <w:sz w:val="18"/>
      <w:szCs w:val="18"/>
    </w:rPr>
  </w:style>
  <w:style w:type="paragraph" w:styleId="12">
    <w:name w:val="Normal (Web)"/>
    <w:basedOn w:val="1"/>
    <w:unhideWhenUsed/>
    <w:qFormat/>
    <w:uiPriority w:val="99"/>
    <w:pPr>
      <w:widowControl/>
      <w:spacing w:before="100" w:beforeAutospacing="1" w:after="100" w:afterAutospacing="1"/>
      <w:ind w:firstLine="0" w:firstLineChars="0"/>
      <w:jc w:val="left"/>
    </w:pPr>
    <w:rPr>
      <w:rFonts w:ascii="宋体" w:hAnsi="宋体" w:eastAsia="宋体" w:cs="宋体"/>
      <w:kern w:val="0"/>
      <w:sz w:val="24"/>
      <w:szCs w:val="24"/>
    </w:rPr>
  </w:style>
  <w:style w:type="paragraph" w:styleId="13">
    <w:name w:val="Body Text First Indent"/>
    <w:basedOn w:val="8"/>
    <w:qFormat/>
    <w:uiPriority w:val="0"/>
    <w:pPr>
      <w:ind w:firstLine="420" w:firstLineChars="100"/>
    </w:pPr>
  </w:style>
  <w:style w:type="character" w:styleId="16">
    <w:name w:val="Strong"/>
    <w:basedOn w:val="15"/>
    <w:qFormat/>
    <w:uiPriority w:val="22"/>
    <w:rPr>
      <w:b/>
      <w:bCs/>
    </w:rPr>
  </w:style>
  <w:style w:type="character" w:styleId="17">
    <w:name w:val="Hyperlink"/>
    <w:basedOn w:val="15"/>
    <w:qFormat/>
    <w:uiPriority w:val="0"/>
    <w:rPr>
      <w:color w:val="0000FF"/>
      <w:u w:val="single"/>
    </w:rPr>
  </w:style>
  <w:style w:type="paragraph" w:customStyle="1" w:styleId="18">
    <w:name w:val="本文正文"/>
    <w:basedOn w:val="1"/>
    <w:qFormat/>
    <w:uiPriority w:val="0"/>
    <w:pPr>
      <w:spacing w:line="360" w:lineRule="auto"/>
      <w:ind w:firstLine="803"/>
    </w:pPr>
    <w:rPr>
      <w:rFonts w:ascii="宋体" w:hAnsi="宋体"/>
      <w:sz w:val="24"/>
    </w:rPr>
  </w:style>
  <w:style w:type="character" w:customStyle="1" w:styleId="19">
    <w:name w:val="页眉 字符"/>
    <w:basedOn w:val="15"/>
    <w:link w:val="11"/>
    <w:qFormat/>
    <w:uiPriority w:val="0"/>
    <w:rPr>
      <w:rFonts w:ascii="Calibri" w:hAnsi="Calibri" w:eastAsia="仿宋_GB2312"/>
      <w:kern w:val="2"/>
      <w:sz w:val="18"/>
      <w:szCs w:val="18"/>
    </w:rPr>
  </w:style>
  <w:style w:type="character" w:customStyle="1" w:styleId="20">
    <w:name w:val="页脚 字符"/>
    <w:basedOn w:val="15"/>
    <w:link w:val="10"/>
    <w:qFormat/>
    <w:uiPriority w:val="0"/>
    <w:rPr>
      <w:rFonts w:ascii="Calibri" w:hAnsi="Calibri" w:eastAsia="仿宋_GB2312"/>
      <w:kern w:val="2"/>
      <w:sz w:val="18"/>
      <w:szCs w:val="18"/>
    </w:rPr>
  </w:style>
  <w:style w:type="character" w:customStyle="1" w:styleId="21">
    <w:name w:val="标题 2 字符"/>
    <w:basedOn w:val="15"/>
    <w:link w:val="5"/>
    <w:semiHidden/>
    <w:qFormat/>
    <w:uiPriority w:val="0"/>
    <w:rPr>
      <w:rFonts w:asciiTheme="majorHAnsi" w:hAnsiTheme="majorHAnsi" w:eastAsiaTheme="majorEastAsia" w:cstheme="majorBidi"/>
      <w:b/>
      <w:bCs/>
      <w:kern w:val="2"/>
      <w:sz w:val="32"/>
      <w:szCs w:val="32"/>
    </w:rPr>
  </w:style>
  <w:style w:type="paragraph" w:customStyle="1" w:styleId="22">
    <w:name w:val="列出段落2"/>
    <w:basedOn w:val="1"/>
    <w:qFormat/>
    <w:uiPriority w:val="34"/>
    <w:pPr>
      <w:ind w:firstLine="420" w:firstLineChars="200"/>
    </w:pPr>
  </w:style>
  <w:style w:type="character" w:customStyle="1" w:styleId="23">
    <w:name w:val="标题 3 字符"/>
    <w:basedOn w:val="15"/>
    <w:link w:val="6"/>
    <w:qFormat/>
    <w:uiPriority w:val="0"/>
    <w:rPr>
      <w:rFonts w:hint="default" w:ascii="Calibri" w:hAnsi="Calibri" w:cs="Calibri"/>
      <w:b/>
      <w:kern w:val="2"/>
      <w:sz w:val="32"/>
      <w:szCs w:val="32"/>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theme" Target="theme/theme1.xml"/><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华测检测认证集团股份有限公司</Company>
  <Pages>5</Pages>
  <Words>1778</Words>
  <Characters>1873</Characters>
  <Lines>28</Lines>
  <Paragraphs>8</Paragraphs>
  <TotalTime>23</TotalTime>
  <ScaleCrop>false</ScaleCrop>
  <LinksUpToDate>false</LinksUpToDate>
  <CharactersWithSpaces>1899</CharactersWithSpaces>
  <Application>WPS Office_11.8.2.11764_F1E327BC-269C-435d-A152-05C5408002CA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2020-12-21T06:54:00Z</dcterms:created>
  <dc:creator>zhenyongwen</dc:creator>
  <cp:lastModifiedBy>钢筋混凝土</cp:lastModifiedBy>
  <cp:lastPrinted>2026-07-04T10:29:00Z</cp:lastPrinted>
  <dcterms:modified xsi:type="dcterms:W3CDTF">2026-08-28T15:58:20Z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2052-11.8.2.11764</vt:lpwstr>
  </property>
  <property fmtid="{D5CDD505-2E9C-101B-9397-08002B2CF9AE}" pid="3" name="ICV">
    <vt:lpwstr>6A97CF62BD1252ADCFE35E6A37519C29</vt:lpwstr>
  </property>
  <property fmtid="{D5CDD505-2E9C-101B-9397-08002B2CF9AE}" pid="4" name="commondata">
    <vt:lpwstr>eyJoZGlkIjoiMzFkNWY3MDE3M2RiODhiZTRhOWM0N2VmNTEzZWI5MGUifQ==</vt:lpwstr>
  </property>
  <property fmtid="{D5CDD505-2E9C-101B-9397-08002B2CF9AE}" pid="5" name="KSOTemplateDocerSaveRecord">
    <vt:lpwstr>eyJoZGlkIjoiMzFkNWY3MDE3M2RiODhiZTRhOWM0N2VmNTEzZWI5MGUiLCJ1c2VySWQiOiI0Mjg1MTQxMTIifQ==</vt:lpwstr>
  </property>
</Properties>
</file>