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hint="eastAsia"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附件</w:t>
      </w:r>
      <w:bookmarkStart w:id="0" w:name="_GoBack"/>
      <w:bookmarkEnd w:id="0"/>
    </w:p>
    <w:p>
      <w:pPr>
        <w:jc w:val="center"/>
        <w:rPr>
          <w:rFonts w:hint="eastAsia" w:ascii="方正小标宋简体" w:hAnsi="方正小标宋简体" w:eastAsia="方正小标宋简体" w:cs="方正小标宋简体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深圳市202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  <w:t>7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年民生实事备选项目申报表</w:t>
      </w:r>
    </w:p>
    <w:p>
      <w:pPr>
        <w:pStyle w:val="2"/>
        <w:rPr>
          <w:rFonts w:ascii="仿宋_GB2312" w:hAnsi="仿宋_GB2312" w:eastAsia="仿宋_GB2312" w:cs="仿宋_GB2312"/>
          <w:sz w:val="28"/>
          <w:szCs w:val="28"/>
        </w:rPr>
      </w:pPr>
      <w:r>
        <w:rPr>
          <w:rFonts w:hint="eastAsia" w:ascii="仿宋_GB2312" w:hAnsi="仿宋_GB2312" w:eastAsia="仿宋_GB2312" w:cs="仿宋_GB2312"/>
          <w:sz w:val="28"/>
          <w:szCs w:val="28"/>
        </w:rPr>
        <w:t xml:space="preserve">填报单位：深圳市市场监督管理局   </w:t>
      </w:r>
    </w:p>
    <w:tbl>
      <w:tblPr>
        <w:tblStyle w:val="5"/>
        <w:tblW w:w="8519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26"/>
        <w:gridCol w:w="2723"/>
        <w:gridCol w:w="2076"/>
        <w:gridCol w:w="2294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3" w:hRule="atLeast"/>
        </w:trPr>
        <w:tc>
          <w:tcPr>
            <w:tcW w:w="1426" w:type="dxa"/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b/>
                <w:bCs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24"/>
                <w:szCs w:val="24"/>
              </w:rPr>
              <w:t>项目名称</w:t>
            </w:r>
          </w:p>
        </w:tc>
        <w:tc>
          <w:tcPr>
            <w:tcW w:w="2723" w:type="dxa"/>
            <w:noWrap w:val="0"/>
            <w:vAlign w:val="center"/>
          </w:tcPr>
          <w:p>
            <w:pPr>
              <w:jc w:val="center"/>
              <w:rPr>
                <w:rFonts w:hint="eastAsia" w:eastAsia="仿宋_GB2312"/>
                <w:b/>
                <w:bCs/>
                <w:sz w:val="24"/>
                <w:szCs w:val="24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  <w:t>营造放心消费环境</w:t>
            </w:r>
          </w:p>
        </w:tc>
        <w:tc>
          <w:tcPr>
            <w:tcW w:w="2076" w:type="dxa"/>
            <w:noWrap w:val="0"/>
            <w:vAlign w:val="center"/>
          </w:tcPr>
          <w:p>
            <w:pPr>
              <w:jc w:val="center"/>
              <w:rPr>
                <w:rFonts w:hint="eastAsia"/>
                <w:b/>
                <w:bCs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24"/>
                <w:szCs w:val="24"/>
              </w:rPr>
              <w:t>分管市领导</w:t>
            </w:r>
          </w:p>
        </w:tc>
        <w:tc>
          <w:tcPr>
            <w:tcW w:w="2294" w:type="dxa"/>
            <w:noWrap w:val="0"/>
            <w:vAlign w:val="center"/>
          </w:tcPr>
          <w:p>
            <w:pPr>
              <w:jc w:val="center"/>
              <w:rPr>
                <w:rFonts w:hint="eastAsia" w:eastAsia="宋体"/>
                <w:b/>
                <w:bCs/>
                <w:sz w:val="24"/>
                <w:szCs w:val="24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  <w:t>代金涛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0" w:hRule="atLeast"/>
        </w:trPr>
        <w:tc>
          <w:tcPr>
            <w:tcW w:w="1426" w:type="dxa"/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b/>
                <w:bCs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24"/>
                <w:szCs w:val="24"/>
              </w:rPr>
              <w:t>责任单位</w:t>
            </w:r>
          </w:p>
        </w:tc>
        <w:tc>
          <w:tcPr>
            <w:tcW w:w="7093" w:type="dxa"/>
            <w:gridSpan w:val="3"/>
            <w:noWrap w:val="0"/>
            <w:vAlign w:val="center"/>
          </w:tcPr>
          <w:p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深圳市市场监督管理局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81" w:hRule="atLeast"/>
        </w:trPr>
        <w:tc>
          <w:tcPr>
            <w:tcW w:w="1426" w:type="dxa"/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b/>
                <w:bCs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24"/>
                <w:szCs w:val="24"/>
              </w:rPr>
              <w:t>项目内容</w:t>
            </w:r>
          </w:p>
        </w:tc>
        <w:tc>
          <w:tcPr>
            <w:tcW w:w="7093" w:type="dxa"/>
            <w:gridSpan w:val="3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420" w:firstLineChars="200"/>
              <w:jc w:val="both"/>
              <w:textAlignment w:val="auto"/>
              <w:rPr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  <w:lang w:eastAsia="zh-CN"/>
              </w:rPr>
              <w:t>全力营造安全放心的消费环境，更好维护消费者合法权益，让人民群众“没有后顾之忧敢消费、消费环境优获得感强愿消费”，为</w:t>
            </w:r>
            <w:r>
              <w:rPr>
                <w:rFonts w:hint="eastAsia" w:ascii="仿宋_GB2312" w:hAnsi="仿宋_GB2312" w:eastAsia="仿宋_GB2312" w:cs="仿宋_GB2312"/>
                <w:sz w:val="21"/>
                <w:szCs w:val="21"/>
                <w:lang w:val="en-US" w:eastAsia="zh-CN"/>
              </w:rPr>
              <w:t>深圳</w:t>
            </w:r>
            <w:r>
              <w:rPr>
                <w:rFonts w:hint="eastAsia" w:ascii="仿宋_GB2312" w:hAnsi="仿宋_GB2312" w:eastAsia="仿宋_GB2312" w:cs="仿宋_GB2312"/>
                <w:sz w:val="21"/>
                <w:szCs w:val="21"/>
                <w:lang w:eastAsia="zh-CN"/>
              </w:rPr>
              <w:t>高质量发展提供有力支撑。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76" w:hRule="atLeast"/>
        </w:trPr>
        <w:tc>
          <w:tcPr>
            <w:tcW w:w="1426" w:type="dxa"/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b/>
                <w:bCs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24"/>
                <w:szCs w:val="24"/>
              </w:rPr>
              <w:t>资金安排</w:t>
            </w:r>
          </w:p>
        </w:tc>
        <w:tc>
          <w:tcPr>
            <w:tcW w:w="7093" w:type="dxa"/>
            <w:gridSpan w:val="3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Lines="0" w:afterLines="0" w:line="360" w:lineRule="exact"/>
              <w:ind w:firstLine="420" w:firstLineChars="200"/>
              <w:jc w:val="both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  <w:highlight w:val="none"/>
                <w:u w:val="none"/>
              </w:rPr>
              <w:t>资金来源：市财政出资（纳入</w:t>
            </w:r>
            <w:r>
              <w:rPr>
                <w:rFonts w:hint="eastAsia" w:ascii="仿宋_GB2312" w:hAnsi="仿宋_GB2312" w:eastAsia="仿宋_GB2312" w:cs="仿宋_GB2312"/>
                <w:sz w:val="21"/>
                <w:szCs w:val="21"/>
                <w:highlight w:val="none"/>
                <w:lang w:val="en-US" w:eastAsia="zh-CN"/>
              </w:rPr>
              <w:t>市市场监管局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  <w:highlight w:val="none"/>
                <w:u w:val="none"/>
              </w:rPr>
              <w:t>预算）。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textAlignment w:val="auto"/>
              <w:rPr>
                <w:sz w:val="21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24" w:hRule="atLeast"/>
        </w:trPr>
        <w:tc>
          <w:tcPr>
            <w:tcW w:w="1426" w:type="dxa"/>
            <w:noWrap w:val="0"/>
            <w:vAlign w:val="center"/>
          </w:tcPr>
          <w:p>
            <w:pPr>
              <w:jc w:val="center"/>
              <w:rPr>
                <w:rFonts w:hint="eastAsia"/>
                <w:b/>
                <w:bCs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24"/>
                <w:szCs w:val="24"/>
              </w:rPr>
              <w:t>绩效目标</w:t>
            </w:r>
          </w:p>
        </w:tc>
        <w:tc>
          <w:tcPr>
            <w:tcW w:w="7093" w:type="dxa"/>
            <w:gridSpan w:val="3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420" w:firstLineChars="200"/>
              <w:jc w:val="both"/>
              <w:textAlignment w:val="auto"/>
              <w:rPr>
                <w:rFonts w:hint="eastAsia" w:ascii="仿宋_GB2312" w:hAnsi="仿宋_GB2312" w:eastAsia="仿宋_GB2312" w:cs="仿宋_GB2312"/>
                <w:sz w:val="21"/>
                <w:szCs w:val="21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  <w:lang w:val="en-US" w:eastAsia="zh-CN"/>
              </w:rPr>
              <w:t>从消费环境建设、维权效能提质营造放心消费环境。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420" w:firstLineChars="200"/>
              <w:jc w:val="both"/>
              <w:textAlignment w:val="auto"/>
              <w:rPr>
                <w:rFonts w:hint="eastAsia" w:ascii="仿宋_GB2312" w:hAnsi="仿宋_GB2312" w:eastAsia="仿宋_GB2312" w:cs="仿宋_GB2312"/>
                <w:sz w:val="21"/>
                <w:szCs w:val="21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  <w:lang w:val="en-US" w:eastAsia="zh-CN"/>
              </w:rPr>
              <w:t>1.让集聚区消费品质可期、纠纷化解不出街区。依托核心商圈、特色街区，培育10个消费品质集聚区、1000个放心消费单元、3000个放心消费“双承诺”主体、3家信用市场。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420" w:firstLineChars="200"/>
              <w:jc w:val="both"/>
              <w:textAlignment w:val="auto"/>
              <w:rPr>
                <w:rFonts w:hint="eastAsia" w:ascii="仿宋_GB2312" w:hAnsi="仿宋_GB2312" w:eastAsia="仿宋_GB2312" w:cs="仿宋_GB2312"/>
                <w:sz w:val="21"/>
                <w:szCs w:val="21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  <w:lang w:val="en-US" w:eastAsia="zh-CN"/>
              </w:rPr>
              <w:t>2.让线上消费维权有例可循、有据可依。 建立网络交易监管执法典型案例库，发布一批典型案例，以案示警、以案普法，帮助消费者识别网购风险。3.让依法维权能力走进日常生活。聚焦民生关切消费热点，开展消费教育“五进”（进社区、进学校、进企业、进商圈、进景区）活动100场，发布消费提示100条，开展不少于3次消费体察。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420" w:firstLineChars="200"/>
              <w:jc w:val="both"/>
              <w:textAlignment w:val="auto"/>
              <w:rPr>
                <w:rFonts w:hint="eastAsia" w:ascii="仿宋_GB2312" w:hAnsi="仿宋_GB2312" w:eastAsia="仿宋_GB2312" w:cs="仿宋_GB2312"/>
                <w:sz w:val="21"/>
                <w:szCs w:val="21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  <w:lang w:val="en-US" w:eastAsia="zh-CN"/>
              </w:rPr>
              <w:t>4.让预付资金全程受监管，新增数字人民币存管资金10亿元，在全市建设10个“预付无忧商圈”。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420" w:firstLineChars="200"/>
              <w:jc w:val="both"/>
              <w:textAlignment w:val="auto"/>
              <w:rPr>
                <w:rFonts w:hint="default" w:eastAsia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  <w:lang w:val="en-US" w:eastAsia="zh-CN"/>
              </w:rPr>
              <w:t xml:space="preserve">5.让知情选择更有保障，消费纠纷在前端解决。在全国12315平台公示我市消费领域投诉纠纷解决情况等消费投诉信息50万条次,公示率达到98.5%。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79" w:hRule="atLeast"/>
        </w:trPr>
        <w:tc>
          <w:tcPr>
            <w:tcW w:w="1426" w:type="dxa"/>
            <w:noWrap w:val="0"/>
            <w:vAlign w:val="center"/>
          </w:tcPr>
          <w:p>
            <w:pPr>
              <w:jc w:val="center"/>
              <w:rPr>
                <w:rFonts w:hint="eastAsia"/>
                <w:b/>
                <w:bCs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24"/>
                <w:szCs w:val="24"/>
              </w:rPr>
              <w:t>指标说明</w:t>
            </w:r>
          </w:p>
        </w:tc>
        <w:tc>
          <w:tcPr>
            <w:tcW w:w="7093" w:type="dxa"/>
            <w:gridSpan w:val="3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420" w:firstLineChars="200"/>
              <w:jc w:val="both"/>
              <w:textAlignment w:val="auto"/>
              <w:rPr>
                <w:rFonts w:hint="eastAsia" w:ascii="仿宋_GB2312" w:hAnsi="仿宋_GB2312" w:eastAsia="仿宋_GB2312" w:cs="仿宋_GB2312"/>
                <w:sz w:val="21"/>
                <w:szCs w:val="21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  <w:lang w:val="en-US" w:eastAsia="zh-CN"/>
              </w:rPr>
              <w:t>1.放心消费单元和集聚区培育，是落实国家及省、市关于优化消费环境、强化消费者权益保护决策部署的重要抓手。通过制定培育标准、组织申报评估、开展动态监测和培训指导，选取基础条件较好、行业代表性强的商业综合体、特色街区、专业市场、品牌企业等作为培育对象，在全市范围内同步推进建设10个集聚区、1000个单元，按季度分阶段推进（选点部署、同步建设、提升完善、总结验收）。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420" w:firstLineChars="200"/>
              <w:jc w:val="both"/>
              <w:textAlignment w:val="auto"/>
              <w:rPr>
                <w:rFonts w:hint="default" w:ascii="仿宋_GB2312" w:hAnsi="仿宋_GB2312" w:eastAsia="仿宋_GB2312" w:cs="仿宋_GB2312"/>
                <w:sz w:val="21"/>
                <w:szCs w:val="21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  <w:lang w:val="en-US" w:eastAsia="zh-CN"/>
              </w:rPr>
              <w:t>2.开展放心消费“双承诺”工作，被列入《广东省“民生十大工程”五年行动计划（2023-2027年）》，将连续五年成为广东省十件民生实事之一。放心消费“双承诺”工作内容主要包括引导消费领域经营者参与“放心消费承诺”和“线下无理由退货承诺”，能够持续优化消费环境、有效增强消费信心。开展放心消费“双承诺”工作，需安排人力物力引导、发动、倡导商家参与，并配套后续的资料审核、公示牌制作、承诺情况核查等工作，根据相关资金人员安排，每季度拟新增放心消费“双承诺”商家750家，共新增3000家。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420" w:firstLineChars="200"/>
              <w:jc w:val="both"/>
              <w:textAlignment w:val="auto"/>
              <w:rPr>
                <w:rFonts w:hint="eastAsia" w:ascii="仿宋_GB2312" w:hAnsi="仿宋_GB2312" w:eastAsia="仿宋_GB2312" w:cs="仿宋_GB2312"/>
                <w:sz w:val="21"/>
                <w:szCs w:val="21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  <w:lang w:val="en-US" w:eastAsia="zh-CN"/>
              </w:rPr>
              <w:t>3.“十五五”期间，拟培育18家信用市场，2026年培育6家信用市场，2027-2030年每年培育3家信用市场。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420" w:firstLineChars="200"/>
              <w:jc w:val="both"/>
              <w:textAlignment w:val="auto"/>
              <w:rPr>
                <w:rFonts w:hint="eastAsia" w:ascii="仿宋_GB2312" w:hAnsi="仿宋_GB2312" w:eastAsia="仿宋_GB2312" w:cs="仿宋_GB2312"/>
                <w:sz w:val="21"/>
                <w:szCs w:val="21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  <w:lang w:val="en-US" w:eastAsia="zh-CN"/>
              </w:rPr>
              <w:t>4.营造规范有序的网络市场秩序，通过聚焦群众反映强烈、社会关注的突出问题，发布网络交易监管执法典型案例，引导经营主体依法合规经营，共同营造良好竞争生态，推动平台经济创新和健康发展。结合实际监管情况，每季度拟发布典型案例6宗，共发布24宗。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420" w:firstLineChars="200"/>
              <w:jc w:val="both"/>
              <w:textAlignment w:val="auto"/>
              <w:rPr>
                <w:rFonts w:hint="eastAsia" w:ascii="仿宋_GB2312" w:hAnsi="仿宋_GB2312" w:eastAsia="仿宋_GB2312" w:cs="仿宋_GB2312"/>
                <w:sz w:val="21"/>
                <w:szCs w:val="21"/>
                <w:lang w:val="en-US" w:eastAsia="zh-CN"/>
              </w:rPr>
            </w:pPr>
            <w:r>
              <w:rPr>
                <w:rFonts w:hint="default" w:ascii="仿宋_GB2312" w:hAnsi="仿宋_GB2312" w:eastAsia="仿宋_GB2312" w:cs="仿宋_GB2312"/>
                <w:sz w:val="21"/>
                <w:szCs w:val="21"/>
                <w:lang w:val="en-US" w:eastAsia="zh-CN"/>
              </w:rPr>
              <w:t>5</w:t>
            </w:r>
            <w:r>
              <w:rPr>
                <w:rFonts w:hint="eastAsia" w:ascii="仿宋_GB2312" w:hAnsi="仿宋_GB2312" w:eastAsia="仿宋_GB2312" w:cs="仿宋_GB2312"/>
                <w:sz w:val="21"/>
                <w:szCs w:val="21"/>
                <w:lang w:val="en-US" w:eastAsia="zh-CN"/>
              </w:rPr>
              <w:t>.以教育培训、美容美发、体育健身等预付式经营重点行业消费集中区域作为重点建设对象，在全市打造不少于</w:t>
            </w:r>
            <w:r>
              <w:rPr>
                <w:rFonts w:hint="eastAsia" w:ascii="仿宋_GB2312" w:hAnsi="仿宋_GB2312" w:eastAsia="仿宋_GB2312" w:cs="仿宋_GB2312"/>
                <w:sz w:val="21"/>
                <w:szCs w:val="21"/>
                <w:highlight w:val="none"/>
                <w:lang w:val="en-US" w:eastAsia="zh-CN"/>
              </w:rPr>
              <w:t>1</w:t>
            </w:r>
            <w:r>
              <w:rPr>
                <w:rFonts w:hint="eastAsia" w:ascii="仿宋_GB2312" w:hAnsi="仿宋_GB2312" w:eastAsia="仿宋_GB2312" w:cs="仿宋_GB2312"/>
                <w:sz w:val="21"/>
                <w:szCs w:val="21"/>
                <w:lang w:val="en-US" w:eastAsia="zh-CN"/>
              </w:rPr>
              <w:t>0个“预付无忧商圈”，并培育一批“预付无忧示范商家”，能够充分发挥示范引领作用，稳定消费预期、提振消费信心。同时，推广数字人民币智能合约技术在预付资金存管中的应用，实现“预付资金全程可控、消费明细实时可溯、剩余款项原路可退”，从根本上杜绝预付资金被挪用、套取和卷款跑路风险。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420" w:firstLineChars="200"/>
              <w:jc w:val="both"/>
              <w:textAlignment w:val="auto"/>
              <w:rPr>
                <w:rFonts w:hint="eastAsia" w:ascii="仿宋_GB2312" w:hAnsi="仿宋_GB2312" w:eastAsia="仿宋_GB2312" w:cs="仿宋_GB2312"/>
                <w:sz w:val="21"/>
                <w:szCs w:val="21"/>
                <w:lang w:val="en-US" w:eastAsia="zh-CN"/>
              </w:rPr>
            </w:pPr>
            <w:r>
              <w:rPr>
                <w:rFonts w:hint="default" w:ascii="仿宋_GB2312" w:hAnsi="仿宋_GB2312" w:eastAsia="仿宋_GB2312" w:cs="仿宋_GB2312"/>
                <w:sz w:val="21"/>
                <w:szCs w:val="21"/>
                <w:lang w:val="en-US" w:eastAsia="zh-CN"/>
              </w:rPr>
              <w:t>6</w:t>
            </w:r>
            <w:r>
              <w:rPr>
                <w:rFonts w:hint="eastAsia" w:ascii="仿宋_GB2312" w:hAnsi="仿宋_GB2312" w:eastAsia="仿宋_GB2312" w:cs="仿宋_GB2312"/>
                <w:sz w:val="21"/>
                <w:szCs w:val="21"/>
                <w:lang w:val="en-US" w:eastAsia="zh-CN"/>
              </w:rPr>
              <w:t>.消费教育“五进”活动旨在面向社区、学校、企业、商圈、景区等不同场景，普及商品鉴别、合同规范、维权渠道等实用消费知识，倡导绿色低碳、文明理性、健康安全的消费方式，增强消费者事前防范风险、事后依法维权的意识和能力；全年</w:t>
            </w:r>
            <w:r>
              <w:rPr>
                <w:rFonts w:hint="default" w:ascii="仿宋_GB2312" w:hAnsi="仿宋_GB2312" w:eastAsia="仿宋_GB2312" w:cs="仿宋_GB2312"/>
                <w:sz w:val="21"/>
                <w:szCs w:val="21"/>
                <w:lang w:val="en" w:eastAsia="zh-CN"/>
              </w:rPr>
              <w:t>100</w:t>
            </w:r>
            <w:r>
              <w:rPr>
                <w:rFonts w:hint="eastAsia" w:ascii="仿宋_GB2312" w:hAnsi="仿宋_GB2312" w:eastAsia="仿宋_GB2312" w:cs="仿宋_GB2312"/>
                <w:sz w:val="21"/>
                <w:szCs w:val="21"/>
                <w:lang w:val="en-US" w:eastAsia="zh-CN"/>
              </w:rPr>
              <w:t>场活动按季度有序推进。消费提示帮助消费者及时识别消费陷阱、增强风险防范意识和自主辨别能力，聚焦商品质量、价格透明、售后服务、预付式消费、网络购物等民生热点领域，全年发布100条。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420" w:firstLineChars="200"/>
              <w:jc w:val="both"/>
              <w:textAlignment w:val="auto"/>
              <w:rPr>
                <w:b/>
                <w:bCs/>
                <w:sz w:val="21"/>
                <w:szCs w:val="21"/>
              </w:rPr>
            </w:pPr>
            <w:r>
              <w:rPr>
                <w:rFonts w:hint="default" w:ascii="仿宋_GB2312" w:hAnsi="仿宋_GB2312" w:eastAsia="仿宋_GB2312" w:cs="仿宋_GB2312"/>
                <w:sz w:val="21"/>
                <w:szCs w:val="21"/>
                <w:lang w:val="en-US" w:eastAsia="zh-CN"/>
              </w:rPr>
              <w:t>7</w:t>
            </w:r>
            <w:r>
              <w:rPr>
                <w:rFonts w:hint="eastAsia" w:ascii="仿宋_GB2312" w:hAnsi="仿宋_GB2312" w:eastAsia="仿宋_GB2312" w:cs="仿宋_GB2312"/>
                <w:sz w:val="21"/>
                <w:szCs w:val="21"/>
                <w:lang w:val="en-US" w:eastAsia="zh-CN"/>
              </w:rPr>
              <w:t>.为落实建设全国统一大市场、优化消费环境的要求，根据国家市场监管总局发布的《市场监督管理投诉信息公示暂行规则》，通过在全国12315平台晒出我市消费者评价、汇聚商家诚信度、投诉纠纷解决情况等实时大数据，让我市消费者明明白白消费，让经营者诚信守法经营。通过公开处理消费者投诉的信息，增强了消费者的知情权和选择权，促使经营者落实消费维权主体责任，推动消费纠纷在源头解决。但投诉信息公示不是“黑名单”，不作为一个企业诚信的评价标准，对经营者来说既是监督又是激励。结合我市消费投诉信息总量，故将此指标定为50万条。</w:t>
            </w:r>
          </w:p>
        </w:tc>
      </w:tr>
    </w:tbl>
    <w:p/>
    <w:sectPr>
      <w:pgSz w:w="11906" w:h="16838"/>
      <w:pgMar w:top="1440" w:right="1800" w:bottom="1177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Nimbus Roman No9 L"/>
    <w:panose1 w:val="02020603050405020304"/>
    <w:charset w:val="86"/>
    <w:family w:val="auto"/>
    <w:pitch w:val="default"/>
    <w:sig w:usb0="00000000" w:usb1="00000000" w:usb2="00000009" w:usb3="00000000" w:csb0="400001FF" w:csb1="FFFF0000"/>
  </w:font>
  <w:font w:name="宋体">
    <w:altName w:val="方正书宋_GBK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altName w:val="MathJax_Vector"/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Nimbus Roman No9 L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altName w:val="MathJax_Vector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Nimbus Roman No9 L"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DejaVu Math TeX Gyre">
    <w:panose1 w:val="02000503000000000000"/>
    <w:charset w:val="00"/>
    <w:family w:val="auto"/>
    <w:pitch w:val="default"/>
    <w:sig w:usb0="A10000EF" w:usb1="4201F9EE" w:usb2="02000000" w:usb3="00000000" w:csb0="60000193" w:csb1="0DD4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66B3A85"/>
    <w:rsid w:val="01A10399"/>
    <w:rsid w:val="01F2569F"/>
    <w:rsid w:val="04E47279"/>
    <w:rsid w:val="0AFC6CD7"/>
    <w:rsid w:val="0DDA0620"/>
    <w:rsid w:val="12285272"/>
    <w:rsid w:val="1D237FC9"/>
    <w:rsid w:val="1DFFE9D8"/>
    <w:rsid w:val="36FB5C14"/>
    <w:rsid w:val="378242D2"/>
    <w:rsid w:val="3DBD9AD4"/>
    <w:rsid w:val="41171FD0"/>
    <w:rsid w:val="466B3A85"/>
    <w:rsid w:val="4B707C68"/>
    <w:rsid w:val="4C2B3D45"/>
    <w:rsid w:val="53767AF1"/>
    <w:rsid w:val="5E5E6551"/>
    <w:rsid w:val="5FBEE2AB"/>
    <w:rsid w:val="69597E07"/>
    <w:rsid w:val="6F37E32E"/>
    <w:rsid w:val="73D15876"/>
    <w:rsid w:val="77C70E30"/>
    <w:rsid w:val="7BF10BFD"/>
    <w:rsid w:val="7F7D0EDD"/>
    <w:rsid w:val="87CFA848"/>
    <w:rsid w:val="CD77B6B2"/>
    <w:rsid w:val="CFDB1D50"/>
    <w:rsid w:val="DCFF7F61"/>
    <w:rsid w:val="E2D59CB2"/>
    <w:rsid w:val="F1F7496C"/>
    <w:rsid w:val="FBEF1E1E"/>
    <w:rsid w:val="FDADC3B1"/>
    <w:rsid w:val="FF35ED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qFormat="1" w:unhideWhenUsed="0" w:uiPriority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qFormat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next w:val="1"/>
    <w:qFormat/>
    <w:uiPriority w:val="0"/>
    <w:pPr>
      <w:spacing w:after="120"/>
    </w:pPr>
  </w:style>
  <w:style w:type="paragraph" w:styleId="3">
    <w:name w:val="toc 5"/>
    <w:basedOn w:val="1"/>
    <w:next w:val="1"/>
    <w:semiHidden/>
    <w:qFormat/>
    <w:uiPriority w:val="0"/>
    <w:pPr>
      <w:ind w:left="1680" w:leftChars="800"/>
    </w:pPr>
  </w:style>
  <w:style w:type="paragraph" w:styleId="4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83</TotalTime>
  <ScaleCrop>false</ScaleCrop>
  <LinksUpToDate>false</LinksUpToDate>
  <CharactersWithSpaces>0</CharactersWithSpaces>
  <Application>WPS Office_11.8.2.11764_F1E327BC-269C-435d-A152-05C5408002CA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2023-07-29T09:27:00Z</dcterms:created>
  <dc:creator>周文丽</dc:creator>
  <cp:lastModifiedBy>yeyj2</cp:lastModifiedBy>
  <dcterms:modified xsi:type="dcterms:W3CDTF">2026-09-20T17:38:37Z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2052-11.8.2.11764</vt:lpwstr>
  </property>
  <property fmtid="{D5CDD505-2E9C-101B-9397-08002B2CF9AE}" pid="3" name="ICV">
    <vt:lpwstr>6DA8BD2ACB03315288A6AF6A5ACC5DE7</vt:lpwstr>
  </property>
</Properties>
</file>